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  <w:highlight w:val="none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  <w:highlight w:val="none"/>
        </w:rPr>
        <w:t>1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Arial" w:hAnsi="Arial" w:cs="Arial"/>
          <w:b/>
          <w:color w:val="FF0000"/>
          <w:sz w:val="24"/>
          <w:szCs w:val="24"/>
          <w:highlight w:val="none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</w:rPr>
        <w:t>R4-2401249</w:t>
      </w:r>
    </w:p>
    <w:bookmarkEnd w:id="2"/>
    <w:p>
      <w:pPr>
        <w:pStyle w:val="15"/>
        <w:keepNext/>
        <w:keepLines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 w:cs="Arial"/>
          <w:b/>
          <w:color w:val="auto"/>
          <w:sz w:val="24"/>
          <w:szCs w:val="24"/>
          <w:highlight w:val="none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Athens, GR, 26 Feb – 01 Mar, 2024</w:t>
      </w:r>
    </w:p>
    <w:p>
      <w:pPr>
        <w:keepNext/>
        <w:keepLines/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Discussion on RF requirements for non</w:t>
      </w:r>
      <w:bookmarkStart w:id="21" w:name="_GoBack"/>
      <w:bookmarkEnd w:id="21"/>
      <w:r>
        <w:rPr>
          <w:rFonts w:hint="eastAsia" w:ascii="Arial" w:hAnsi="Arial"/>
          <w:b/>
          <w:sz w:val="24"/>
          <w:highlight w:val="none"/>
          <w:lang w:val="en-US" w:eastAsia="zh-CN"/>
        </w:rPr>
        <w:t>-collocated ENDC NRCA</w:t>
      </w:r>
    </w:p>
    <w:p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highlight w:val="none"/>
        </w:rPr>
      </w:pPr>
      <w:r>
        <w:rPr>
          <w:rStyle w:val="59"/>
          <w:rFonts w:hint="eastAsia"/>
          <w:b/>
          <w:highlight w:val="none"/>
        </w:rPr>
        <w:t xml:space="preserve">Source: </w:t>
      </w:r>
      <w:r>
        <w:rPr>
          <w:rStyle w:val="59"/>
          <w:rFonts w:hint="eastAsia"/>
          <w:b/>
          <w:highlight w:val="none"/>
        </w:rPr>
        <w:tab/>
      </w:r>
      <w:r>
        <w:rPr>
          <w:rStyle w:val="59"/>
          <w:rFonts w:hint="eastAsia"/>
          <w:b/>
          <w:highlight w:val="none"/>
        </w:rPr>
        <w:t>ZTE Corporation</w:t>
      </w:r>
    </w:p>
    <w:p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Style w:val="59"/>
          <w:rFonts w:hint="eastAsia" w:eastAsia="宋体"/>
          <w:b/>
          <w:color w:val="auto"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/>
        </w:rPr>
        <w:t>Agenda item:</w:t>
      </w:r>
      <w:r>
        <w:rPr>
          <w:rStyle w:val="59"/>
          <w:rFonts w:hint="eastAsia"/>
          <w:b/>
          <w:highlight w:val="none"/>
          <w:lang w:val="pt-BR"/>
        </w:rPr>
        <w:tab/>
      </w:r>
      <w:r>
        <w:rPr>
          <w:rStyle w:val="59"/>
          <w:rFonts w:hint="eastAsia"/>
          <w:b/>
          <w:color w:val="auto"/>
          <w:highlight w:val="none"/>
          <w:lang w:val="en-US" w:eastAsia="zh-CN"/>
        </w:rPr>
        <w:t>8</w:t>
      </w:r>
      <w:r>
        <w:rPr>
          <w:rStyle w:val="59"/>
          <w:rFonts w:hint="eastAsia"/>
          <w:b/>
          <w:color w:val="auto"/>
          <w:highlight w:val="none"/>
        </w:rPr>
        <w:t>.</w:t>
      </w:r>
      <w:r>
        <w:rPr>
          <w:rStyle w:val="59"/>
          <w:rFonts w:hint="eastAsia"/>
          <w:b/>
          <w:color w:val="auto"/>
          <w:highlight w:val="none"/>
          <w:lang w:val="en-US" w:eastAsia="zh-CN"/>
        </w:rPr>
        <w:t>7</w:t>
      </w:r>
      <w:r>
        <w:rPr>
          <w:rStyle w:val="59"/>
          <w:rFonts w:hint="eastAsia"/>
          <w:b/>
          <w:color w:val="auto"/>
          <w:highlight w:val="none"/>
        </w:rPr>
        <w:t>.</w:t>
      </w:r>
      <w:r>
        <w:rPr>
          <w:rStyle w:val="59"/>
          <w:rFonts w:hint="eastAsia"/>
          <w:b/>
          <w:color w:val="auto"/>
          <w:highlight w:val="none"/>
          <w:lang w:val="en-US" w:eastAsia="zh-CN"/>
        </w:rPr>
        <w:t>1</w:t>
      </w:r>
    </w:p>
    <w:p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highlight w:val="none"/>
          <w:lang w:val="pt-BR"/>
        </w:rPr>
      </w:pPr>
      <w:r>
        <w:rPr>
          <w:rStyle w:val="59"/>
          <w:rFonts w:hint="eastAsia"/>
          <w:b/>
          <w:highlight w:val="none"/>
          <w:lang w:val="pt-BR"/>
        </w:rPr>
        <w:t>Document for:</w:t>
      </w:r>
      <w:r>
        <w:rPr>
          <w:rStyle w:val="59"/>
          <w:rFonts w:hint="eastAsia"/>
          <w:b/>
          <w:highlight w:val="none"/>
          <w:lang w:val="pt-BR"/>
        </w:rPr>
        <w:tab/>
      </w:r>
      <w:r>
        <w:rPr>
          <w:rStyle w:val="59"/>
          <w:rFonts w:hint="eastAsia"/>
          <w:b/>
          <w:highlight w:val="none"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  <w:bookmarkStart w:id="3" w:name="OLE_LINK25"/>
    </w:p>
    <w:p>
      <w:pPr>
        <w:keepNext/>
        <w:keepLines/>
        <w:spacing w:before="120" w:beforeLines="0" w:after="120" w:afterLines="0" w:line="240" w:lineRule="auto"/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highlight w:val="none"/>
          <w:lang w:val="en-GB"/>
        </w:rPr>
        <w:t>In RAN4#10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9</w:t>
      </w:r>
      <w:r>
        <w:rPr>
          <w:rFonts w:ascii="Times New Roman" w:hAnsi="Times New Roman" w:cs="Times New Roman"/>
          <w:sz w:val="20"/>
          <w:szCs w:val="20"/>
          <w:highlight w:val="none"/>
          <w:lang w:val="en-GB"/>
        </w:rPr>
        <w:t xml:space="preserve"> meeting, the 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signalling</w:t>
      </w:r>
      <w:r>
        <w:rPr>
          <w:rFonts w:ascii="Times New Roman" w:hAnsi="Times New Roman" w:cs="Times New Roman"/>
          <w:sz w:val="20"/>
          <w:szCs w:val="20"/>
          <w:highlight w:val="none"/>
          <w:lang w:val="en-GB"/>
        </w:rPr>
        <w:t xml:space="preserve"> for 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indicating type1 ENDC or type2 </w:t>
      </w:r>
      <w:bookmarkStart w:id="4" w:name="OLE_LINK3"/>
      <w:r>
        <w:rPr>
          <w:rFonts w:hint="eastAsia" w:cs="Times New Roman"/>
          <w:sz w:val="20"/>
          <w:szCs w:val="20"/>
          <w:highlight w:val="none"/>
          <w:lang w:val="en-US" w:eastAsia="zh-CN"/>
        </w:rPr>
        <w:t>was agreed</w:t>
      </w:r>
      <w:bookmarkEnd w:id="4"/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 in[1]. However, we found the descriptions in the NOTEs for the CC level limitation for type 1 and type 2 RF requirements are a bit different. </w:t>
      </w:r>
    </w:p>
    <w:p>
      <w:pPr>
        <w:keepNext/>
        <w:keepLines/>
        <w:widowControl w:val="0"/>
        <w:spacing w:before="120" w:beforeLines="0" w:after="120" w:afterLines="0" w:line="240" w:lineRule="auto"/>
        <w:jc w:val="left"/>
        <w:rPr>
          <w:rFonts w:hint="default" w:eastAsia="宋体"/>
          <w:kern w:val="0"/>
          <w:sz w:val="20"/>
          <w:highlight w:val="none"/>
          <w:lang w:val="en-US" w:eastAsia="zh-CN"/>
        </w:rPr>
      </w:pPr>
      <w:r>
        <w:rPr>
          <w:rFonts w:hint="eastAsia"/>
          <w:kern w:val="0"/>
          <w:sz w:val="20"/>
          <w:highlight w:val="none"/>
          <w:lang w:val="en-US" w:eastAsia="zh-CN"/>
        </w:rPr>
        <w:t>In this contribution, we aim to raise the issue and provide our understanding about the issue.</w:t>
      </w:r>
    </w:p>
    <w:bookmarkEnd w:id="3"/>
    <w:p>
      <w:pPr>
        <w:keepNext/>
        <w:keepLines/>
        <w:widowControl w:val="0"/>
        <w:pBdr>
          <w:top w:val="single" w:color="auto" w:sz="12" w:space="3"/>
        </w:pBdr>
        <w:spacing w:before="120" w:beforeLines="0" w:after="120" w:afterLines="0" w:line="240" w:lineRule="auto"/>
        <w:jc w:val="left"/>
        <w:outlineLvl w:val="0"/>
        <w:rPr>
          <w:b/>
          <w:kern w:val="0"/>
          <w:sz w:val="20"/>
          <w:szCs w:val="20"/>
          <w:highlight w:val="none"/>
        </w:rPr>
      </w:pPr>
      <w:r>
        <w:rPr>
          <w:b/>
          <w:kern w:val="0"/>
          <w:sz w:val="20"/>
          <w:szCs w:val="20"/>
          <w:highlight w:val="none"/>
        </w:rPr>
        <w:t>2</w:t>
      </w:r>
      <w:r>
        <w:rPr>
          <w:b/>
          <w:kern w:val="0"/>
          <w:sz w:val="20"/>
          <w:szCs w:val="20"/>
          <w:highlight w:val="none"/>
        </w:rPr>
        <w:tab/>
      </w:r>
      <w:r>
        <w:rPr>
          <w:b/>
          <w:kern w:val="0"/>
          <w:sz w:val="20"/>
          <w:szCs w:val="20"/>
          <w:highlight w:val="none"/>
        </w:rPr>
        <w:t>Discussion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eastAsia"/>
          <w:highlight w:val="none"/>
          <w:lang w:val="en-US" w:eastAsia="zh-CN"/>
        </w:rPr>
      </w:pPr>
      <w:bookmarkStart w:id="5" w:name="OLE_LINK41"/>
      <w:bookmarkStart w:id="6" w:name="OLE_LINK66"/>
      <w:bookmarkStart w:id="7" w:name="OLE_LINK23"/>
      <w:bookmarkStart w:id="8" w:name="OLE_LINK6"/>
      <w:r>
        <w:rPr>
          <w:rFonts w:hint="eastAsia"/>
          <w:highlight w:val="none"/>
          <w:lang w:val="en-US" w:eastAsia="zh-CN"/>
        </w:rPr>
        <w:t>The following is from [2] which describes the RF requirements when type 1 or type 2 capability is indicated/configured.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69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eastAsia="等线"/>
              </w:rPr>
              <w:t>NOTE 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For </w:t>
            </w:r>
            <w:bookmarkStart w:id="9" w:name="OLE_LINK4"/>
            <w:r>
              <w:rPr>
                <w:rFonts w:eastAsia="宋体"/>
              </w:rPr>
              <w:t>a UE not indicating</w:t>
            </w:r>
            <w:r>
              <w:rPr>
                <w:rFonts w:eastAsia="等线"/>
                <w:i/>
                <w:lang w:val="en-US" w:eastAsia="zh-CN"/>
              </w:rPr>
              <w:t xml:space="preserve"> [</w:t>
            </w:r>
            <w:bookmarkStart w:id="10" w:name="OLE_LINK11"/>
            <w:r>
              <w:rPr>
                <w:rFonts w:eastAsia="等线"/>
                <w:i/>
                <w:lang w:val="en-US" w:eastAsia="zh-CN"/>
              </w:rPr>
              <w:t>intraBandNR-CA-non-collocated-r18</w:t>
            </w:r>
            <w:bookmarkEnd w:id="10"/>
            <w:r>
              <w:rPr>
                <w:rFonts w:eastAsia="等线"/>
                <w:i/>
                <w:lang w:val="en-US" w:eastAsia="zh-CN"/>
              </w:rPr>
              <w:t>]</w:t>
            </w:r>
            <w:bookmarkEnd w:id="9"/>
            <w:r>
              <w:rPr>
                <w:rFonts w:eastAsia="宋体"/>
              </w:rPr>
              <w:t xml:space="preserve">, the minimum requirements for intra-band non-contiguous CA apply when the </w:t>
            </w:r>
            <w:r>
              <w:rPr>
                <w:rFonts w:eastAsia="宋体"/>
                <w:highlight w:val="yellow"/>
              </w:rPr>
              <w:t>maximum power spectral density imbalance between downlink carriers is within 6 dB</w:t>
            </w:r>
            <w:r>
              <w:rPr>
                <w:rFonts w:eastAsia="宋体"/>
              </w:rPr>
              <w:t xml:space="preserve">. For a UE indicating </w:t>
            </w:r>
            <w:r>
              <w:rPr>
                <w:rFonts w:eastAsia="等线"/>
                <w:i/>
                <w:lang w:val="en-US" w:eastAsia="zh-CN"/>
              </w:rPr>
              <w:t xml:space="preserve">[intraBandNR-CA-non-collocated-r18] </w:t>
            </w:r>
            <w:r>
              <w:rPr>
                <w:rFonts w:eastAsia="等线"/>
                <w:lang w:val="en-US" w:eastAsia="zh-CN"/>
              </w:rPr>
              <w:t xml:space="preserve">and if </w:t>
            </w:r>
            <w:bookmarkStart w:id="11" w:name="OLE_LINK8"/>
            <w:r>
              <w:rPr>
                <w:rFonts w:eastAsia="等线"/>
                <w:i/>
                <w:lang w:val="en-US" w:eastAsia="zh-CN"/>
              </w:rPr>
              <w:t>[nonCollocatedTypeNR-CA-r18]</w:t>
            </w:r>
            <w:r>
              <w:rPr>
                <w:rFonts w:eastAsia="等线"/>
                <w:lang w:val="en-US" w:eastAsia="zh-CN"/>
              </w:rPr>
              <w:t xml:space="preserve"> is not provided a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nd </w:t>
            </w:r>
            <w:r>
              <w:rPr>
                <w:rFonts w:eastAsia="等线" w:cs="Arial"/>
                <w:szCs w:val="18"/>
                <w:lang w:eastAsia="zh-CN"/>
              </w:rPr>
              <w:t xml:space="preserve">UE is configured with </w:t>
            </w:r>
            <w:r>
              <w:rPr>
                <w:rFonts w:cs="Arial"/>
                <w:i/>
                <w:iCs/>
                <w:color w:val="000000"/>
                <w:szCs w:val="18"/>
              </w:rPr>
              <w:t>maxMIMO-Lay</w:t>
            </w:r>
            <w:r>
              <w:rPr>
                <w:rFonts w:eastAsia="等线" w:cs="Arial"/>
                <w:i/>
                <w:szCs w:val="18"/>
                <w:lang w:eastAsia="zh-CN"/>
              </w:rPr>
              <w:t>ers</w:t>
            </w:r>
            <w:r>
              <w:rPr>
                <w:rFonts w:eastAsia="等线" w:cs="Arial"/>
                <w:szCs w:val="18"/>
                <w:lang w:eastAsia="zh-CN"/>
              </w:rPr>
              <w:t> with value less than or equal to 2</w:t>
            </w:r>
            <w:bookmarkEnd w:id="11"/>
            <w:r>
              <w:rPr>
                <w:rFonts w:eastAsia="宋体"/>
              </w:rPr>
              <w:t xml:space="preserve">, the </w:t>
            </w:r>
            <w:r>
              <w:rPr>
                <w:rFonts w:eastAsia="宋体"/>
                <w:highlight w:val="yellow"/>
              </w:rPr>
              <w:t>power imbalance requirement</w:t>
            </w:r>
            <w:r>
              <w:rPr>
                <w:rFonts w:eastAsia="宋体"/>
              </w:rPr>
              <w:t xml:space="preserve"> defined in subclause 7.10A apply. For a UE indicating </w:t>
            </w:r>
            <w:r>
              <w:rPr>
                <w:rFonts w:eastAsia="宋体"/>
                <w:i/>
              </w:rPr>
              <w:t>[</w:t>
            </w:r>
            <w:r>
              <w:rPr>
                <w:rFonts w:eastAsia="等线"/>
                <w:i/>
                <w:lang w:val="en-US" w:eastAsia="zh-CN"/>
              </w:rPr>
              <w:t>intraBandNR-CA-non-collocated-r18]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and when </w:t>
            </w:r>
            <w:r>
              <w:rPr>
                <w:rFonts w:eastAsia="等线"/>
                <w:i/>
                <w:lang w:val="en-US" w:eastAsia="zh-CN"/>
              </w:rPr>
              <w:t>[nonCollocatedTypeNR-CA-r18]</w:t>
            </w:r>
            <w:r>
              <w:rPr>
                <w:rFonts w:eastAsia="等线"/>
                <w:lang w:val="en-US" w:eastAsia="zh-CN"/>
              </w:rPr>
              <w:t xml:space="preserve"> is provided, the minimum requirements for </w:t>
            </w:r>
            <w:r>
              <w:rPr>
                <w:rFonts w:eastAsia="宋体"/>
              </w:rPr>
              <w:t xml:space="preserve">intra-band non-contiguous CA apply when the </w:t>
            </w:r>
            <w:r>
              <w:rPr>
                <w:rFonts w:eastAsia="宋体"/>
                <w:highlight w:val="yellow"/>
              </w:rPr>
              <w:t>maximum power spectral density imbalance</w:t>
            </w:r>
            <w:r>
              <w:rPr>
                <w:rFonts w:eastAsia="宋体"/>
              </w:rPr>
              <w:t xml:space="preserve"> between downlink carriers is within 6 dB. For these UEs, the power spectral density imbalance condition also applies for these carriers when applicable intra-band non-contiguous NR CA configuration is a subset of a higher order NR CA configuration.</w:t>
            </w:r>
          </w:p>
        </w:tc>
      </w:tr>
    </w:tbl>
    <w:p>
      <w:pPr>
        <w:pStyle w:val="62"/>
        <w:keepNext/>
        <w:keepLines/>
        <w:widowControl w:val="0"/>
        <w:spacing w:before="120" w:after="120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above NOTE 6 is for NR intra-band CA, and in terms of the NOTE 6, we can observe that:</w:t>
      </w:r>
    </w:p>
    <w:p>
      <w:pPr>
        <w:pStyle w:val="62"/>
        <w:keepNext/>
        <w:keepLines/>
        <w:widowControl w:val="0"/>
        <w:numPr>
          <w:ilvl w:val="0"/>
          <w:numId w:val="7"/>
        </w:numPr>
        <w:spacing w:before="120" w:after="120"/>
        <w:ind w:left="420" w:hanging="420"/>
        <w:rPr>
          <w:rFonts w:hint="eastAsia"/>
          <w:i w:val="0"/>
          <w:lang w:val="en-US" w:eastAsia="zh-CN"/>
        </w:rPr>
      </w:pPr>
      <w:r>
        <w:rPr>
          <w:rFonts w:hint="eastAsia"/>
          <w:highlight w:val="none"/>
          <w:lang w:val="en-US" w:eastAsia="zh-CN"/>
        </w:rPr>
        <w:t>When a UE</w:t>
      </w:r>
      <w:r>
        <w:rPr>
          <w:rFonts w:eastAsia="宋体"/>
        </w:rPr>
        <w:t xml:space="preserve"> not indicating</w:t>
      </w:r>
      <w:r>
        <w:rPr>
          <w:rFonts w:eastAsia="等线"/>
          <w:i/>
          <w:lang w:val="en-US" w:eastAsia="zh-CN"/>
        </w:rPr>
        <w:t xml:space="preserve"> [intraBandNR-CA-non-collocated-r18]</w:t>
      </w:r>
      <w:r>
        <w:rPr>
          <w:rFonts w:hint="eastAsia" w:eastAsia="等线"/>
          <w:i/>
          <w:lang w:val="en-US" w:eastAsia="zh-CN"/>
        </w:rPr>
        <w:t xml:space="preserve">, </w:t>
      </w:r>
      <w:r>
        <w:rPr>
          <w:rFonts w:hint="eastAsia" w:eastAsia="等线"/>
          <w:i w:val="0"/>
          <w:iCs/>
          <w:lang w:val="en-US" w:eastAsia="zh-CN"/>
        </w:rPr>
        <w:t xml:space="preserve">it is type 1 UE </w:t>
      </w:r>
      <w:r>
        <w:rPr>
          <w:rFonts w:hint="default" w:eastAsia="宋体"/>
          <w:i w:val="0"/>
          <w:iCs/>
          <w:lang w:val="en-US" w:eastAsia="zh-CN"/>
        </w:rPr>
        <w:t>and</w:t>
      </w:r>
      <w:r>
        <w:rPr>
          <w:rFonts w:hint="eastAsia"/>
          <w:i w:val="0"/>
          <w:iCs/>
          <w:lang w:val="en-US" w:eastAsia="zh-CN"/>
        </w:rPr>
        <w:t xml:space="preserve"> maximum</w:t>
      </w:r>
      <w:bookmarkStart w:id="12" w:name="OLE_LINK5"/>
      <w:r>
        <w:rPr>
          <w:rFonts w:hint="default" w:eastAsia="宋体"/>
          <w:i w:val="0"/>
          <w:lang w:val="en-US" w:eastAsia="zh-CN"/>
        </w:rPr>
        <w:t xml:space="preserve"> PSD imbalance </w:t>
      </w:r>
      <w:bookmarkEnd w:id="12"/>
      <w:r>
        <w:rPr>
          <w:rFonts w:hint="eastAsia"/>
          <w:i w:val="0"/>
          <w:lang w:val="en-US" w:eastAsia="zh-CN"/>
        </w:rPr>
        <w:t xml:space="preserve">between DL CC </w:t>
      </w:r>
      <w:r>
        <w:rPr>
          <w:rFonts w:hint="default" w:eastAsia="宋体"/>
          <w:i w:val="0"/>
          <w:lang w:val="en-US" w:eastAsia="zh-CN"/>
        </w:rPr>
        <w:t>requirement</w:t>
      </w:r>
      <w:r>
        <w:rPr>
          <w:rFonts w:hint="eastAsia"/>
          <w:i w:val="0"/>
          <w:lang w:val="en-US" w:eastAsia="zh-CN"/>
        </w:rPr>
        <w:t xml:space="preserve"> is used.</w:t>
      </w:r>
    </w:p>
    <w:p>
      <w:pPr>
        <w:pStyle w:val="62"/>
        <w:keepNext/>
        <w:keepLines/>
        <w:widowControl w:val="0"/>
        <w:numPr>
          <w:ilvl w:val="0"/>
          <w:numId w:val="7"/>
        </w:numPr>
        <w:spacing w:before="120" w:after="120"/>
        <w:ind w:left="420" w:hanging="420"/>
        <w:rPr>
          <w:rFonts w:hint="eastAsia" w:eastAsia="等线"/>
          <w:i/>
          <w:lang w:val="en-US" w:eastAsia="zh-CN"/>
        </w:rPr>
      </w:pPr>
      <w:r>
        <w:rPr>
          <w:rFonts w:hint="eastAsia"/>
          <w:i w:val="0"/>
          <w:lang w:val="en-US" w:eastAsia="zh-CN"/>
        </w:rPr>
        <w:t xml:space="preserve">When a UE </w:t>
      </w:r>
      <w:r>
        <w:rPr>
          <w:rFonts w:eastAsia="宋体"/>
        </w:rPr>
        <w:t>indicating</w:t>
      </w:r>
      <w:r>
        <w:rPr>
          <w:rFonts w:eastAsia="等线"/>
          <w:i/>
          <w:lang w:val="en-US" w:eastAsia="zh-CN"/>
        </w:rPr>
        <w:t xml:space="preserve"> [intraBandNR-CA-non-collocated-r18]</w:t>
      </w:r>
      <w:r>
        <w:rPr>
          <w:rFonts w:hint="eastAsia" w:eastAsia="等线"/>
          <w:i/>
          <w:lang w:val="en-US" w:eastAsia="zh-CN"/>
        </w:rPr>
        <w:t>:</w:t>
      </w:r>
    </w:p>
    <w:p>
      <w:pPr>
        <w:pStyle w:val="62"/>
        <w:keepNext/>
        <w:keepLines/>
        <w:widowControl w:val="0"/>
        <w:numPr>
          <w:ilvl w:val="1"/>
          <w:numId w:val="7"/>
        </w:numPr>
        <w:spacing w:before="120" w:after="120"/>
        <w:ind w:left="840" w:hanging="420"/>
        <w:rPr>
          <w:rFonts w:hint="eastAsia"/>
          <w:i w:val="0"/>
          <w:color w:val="auto"/>
          <w:lang w:val="en-US" w:eastAsia="zh-CN"/>
        </w:rPr>
      </w:pPr>
      <w:r>
        <w:rPr>
          <w:rFonts w:hint="eastAsia" w:eastAsia="等线"/>
          <w:i/>
          <w:color w:val="auto"/>
          <w:lang w:val="en-US" w:eastAsia="zh-CN"/>
        </w:rPr>
        <w:t xml:space="preserve">If </w:t>
      </w:r>
      <w:r>
        <w:rPr>
          <w:rFonts w:eastAsia="等线"/>
          <w:i/>
          <w:color w:val="auto"/>
          <w:lang w:val="en-US" w:eastAsia="zh-CN"/>
        </w:rPr>
        <w:t>[nonCollocatedTypeNR-CA-r18]</w:t>
      </w:r>
      <w:r>
        <w:rPr>
          <w:rFonts w:eastAsia="等线"/>
          <w:color w:val="auto"/>
          <w:lang w:val="en-US" w:eastAsia="zh-CN"/>
        </w:rPr>
        <w:t xml:space="preserve"> is not provided a</w:t>
      </w:r>
      <w:r>
        <w:rPr>
          <w:rFonts w:eastAsia="等线" w:cs="Arial"/>
          <w:color w:val="auto"/>
          <w:szCs w:val="18"/>
          <w:lang w:val="en-US" w:eastAsia="zh-CN"/>
        </w:rPr>
        <w:t xml:space="preserve">nd </w:t>
      </w:r>
      <w:r>
        <w:rPr>
          <w:rFonts w:eastAsia="等线" w:cs="Arial"/>
          <w:color w:val="auto"/>
          <w:szCs w:val="18"/>
          <w:lang w:eastAsia="zh-CN"/>
        </w:rPr>
        <w:t xml:space="preserve">UE is configured with </w:t>
      </w:r>
      <w:r>
        <w:rPr>
          <w:rFonts w:cs="Arial"/>
          <w:i/>
          <w:iCs/>
          <w:color w:val="auto"/>
          <w:szCs w:val="18"/>
        </w:rPr>
        <w:t>maxMIMO-Lay</w:t>
      </w:r>
      <w:r>
        <w:rPr>
          <w:rFonts w:eastAsia="等线" w:cs="Arial"/>
          <w:i/>
          <w:color w:val="auto"/>
          <w:szCs w:val="18"/>
          <w:lang w:eastAsia="zh-CN"/>
        </w:rPr>
        <w:t>ers</w:t>
      </w:r>
      <w:r>
        <w:rPr>
          <w:rFonts w:eastAsia="等线" w:cs="Arial"/>
          <w:color w:val="auto"/>
          <w:szCs w:val="18"/>
          <w:lang w:eastAsia="zh-CN"/>
        </w:rPr>
        <w:t> with value less than or equal to 2</w:t>
      </w:r>
      <w:r>
        <w:rPr>
          <w:rFonts w:hint="eastAsia" w:eastAsia="等线" w:cs="Arial"/>
          <w:color w:val="auto"/>
          <w:szCs w:val="18"/>
          <w:lang w:val="en-US" w:eastAsia="zh-CN"/>
        </w:rPr>
        <w:t xml:space="preserve">, it is type 2 UE and power imbalance </w:t>
      </w:r>
      <w:r>
        <w:rPr>
          <w:rFonts w:hint="eastAsia"/>
          <w:i w:val="0"/>
          <w:color w:val="auto"/>
          <w:lang w:val="en-US" w:eastAsia="zh-CN"/>
        </w:rPr>
        <w:t xml:space="preserve">between DL CC </w:t>
      </w:r>
      <w:r>
        <w:rPr>
          <w:rFonts w:hint="default" w:eastAsia="宋体"/>
          <w:i w:val="0"/>
          <w:color w:val="auto"/>
          <w:lang w:val="en-US" w:eastAsia="zh-CN"/>
        </w:rPr>
        <w:t>requirement</w:t>
      </w:r>
      <w:r>
        <w:rPr>
          <w:rFonts w:hint="eastAsia"/>
          <w:i w:val="0"/>
          <w:color w:val="auto"/>
          <w:lang w:val="en-US" w:eastAsia="zh-CN"/>
        </w:rPr>
        <w:t xml:space="preserve"> is used.</w:t>
      </w:r>
    </w:p>
    <w:p>
      <w:pPr>
        <w:pStyle w:val="62"/>
        <w:keepNext/>
        <w:keepLines/>
        <w:widowControl w:val="0"/>
        <w:numPr>
          <w:ilvl w:val="1"/>
          <w:numId w:val="7"/>
        </w:numPr>
        <w:spacing w:before="120" w:after="120"/>
        <w:ind w:left="840" w:hanging="420"/>
        <w:rPr>
          <w:rFonts w:hint="eastAsia"/>
          <w:i w:val="0"/>
          <w:color w:val="auto"/>
          <w:lang w:val="en-US" w:eastAsia="zh-CN"/>
        </w:rPr>
      </w:pPr>
      <w:r>
        <w:rPr>
          <w:rFonts w:hint="eastAsia" w:eastAsia="等线"/>
          <w:i/>
          <w:color w:val="auto"/>
          <w:lang w:val="en-US" w:eastAsia="zh-CN"/>
        </w:rPr>
        <w:t xml:space="preserve">If </w:t>
      </w:r>
      <w:r>
        <w:rPr>
          <w:rFonts w:eastAsia="等线"/>
          <w:i/>
          <w:color w:val="auto"/>
          <w:lang w:val="en-US" w:eastAsia="zh-CN"/>
        </w:rPr>
        <w:t>[nonCollocatedTypeNR-CA-r18]</w:t>
      </w:r>
      <w:r>
        <w:rPr>
          <w:rFonts w:eastAsia="等线"/>
          <w:color w:val="auto"/>
          <w:lang w:val="en-US" w:eastAsia="zh-CN"/>
        </w:rPr>
        <w:t xml:space="preserve"> is provided</w:t>
      </w:r>
      <w:r>
        <w:rPr>
          <w:rFonts w:hint="eastAsia" w:eastAsia="等线"/>
          <w:color w:val="auto"/>
          <w:lang w:val="en-US" w:eastAsia="zh-CN"/>
        </w:rPr>
        <w:t xml:space="preserve">, it is type 1 UE and </w:t>
      </w:r>
      <w:r>
        <w:rPr>
          <w:rFonts w:hint="eastAsia"/>
          <w:i w:val="0"/>
          <w:iCs/>
          <w:color w:val="auto"/>
          <w:lang w:val="en-US" w:eastAsia="zh-CN"/>
        </w:rPr>
        <w:t>maximum</w:t>
      </w:r>
      <w:r>
        <w:rPr>
          <w:rFonts w:hint="default" w:eastAsia="宋体"/>
          <w:i w:val="0"/>
          <w:color w:val="auto"/>
          <w:lang w:val="en-US" w:eastAsia="zh-CN"/>
        </w:rPr>
        <w:t xml:space="preserve"> PSD imbalance </w:t>
      </w:r>
      <w:r>
        <w:rPr>
          <w:rFonts w:hint="eastAsia"/>
          <w:i w:val="0"/>
          <w:color w:val="auto"/>
          <w:lang w:val="en-US" w:eastAsia="zh-CN"/>
        </w:rPr>
        <w:t xml:space="preserve">between DL CC </w:t>
      </w:r>
      <w:r>
        <w:rPr>
          <w:rFonts w:hint="default" w:eastAsia="宋体"/>
          <w:i w:val="0"/>
          <w:color w:val="auto"/>
          <w:lang w:val="en-US" w:eastAsia="zh-CN"/>
        </w:rPr>
        <w:t>requirement</w:t>
      </w:r>
      <w:r>
        <w:rPr>
          <w:rFonts w:hint="eastAsia"/>
          <w:i w:val="0"/>
          <w:color w:val="auto"/>
          <w:lang w:val="en-US" w:eastAsia="zh-CN"/>
        </w:rPr>
        <w:t xml:space="preserve"> is used.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 w:eastAsia="等线"/>
          <w:b/>
          <w:bCs/>
          <w:i/>
          <w:iCs/>
          <w:highlight w:val="none"/>
          <w:lang w:val="en-US" w:eastAsia="zh-CN"/>
        </w:rPr>
      </w:pPr>
      <w:bookmarkStart w:id="13" w:name="OLE_LINK10"/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>Observation 1:</w:t>
      </w:r>
      <w:r>
        <w:rPr>
          <w:rFonts w:hint="eastAsia" w:eastAsia="等线"/>
          <w:b/>
          <w:bCs/>
          <w:i/>
          <w:iCs/>
          <w:lang w:val="en-US" w:eastAsia="zh-CN"/>
        </w:rPr>
        <w:t xml:space="preserve"> </w:t>
      </w:r>
      <w:bookmarkEnd w:id="13"/>
      <w:r>
        <w:rPr>
          <w:rFonts w:hint="eastAsia" w:eastAsia="等线"/>
          <w:b/>
          <w:bCs/>
          <w:i/>
          <w:iCs/>
          <w:lang w:val="en-US" w:eastAsia="zh-CN"/>
        </w:rPr>
        <w:t>For type 1 UE,</w:t>
      </w:r>
      <w:bookmarkStart w:id="14" w:name="OLE_LINK14"/>
      <w:r>
        <w:rPr>
          <w:rFonts w:hint="eastAsia" w:eastAsia="等线"/>
          <w:b/>
          <w:bCs/>
          <w:i/>
          <w:iCs/>
          <w:lang w:val="en-US" w:eastAsia="zh-CN"/>
        </w:rPr>
        <w:t xml:space="preserve"> </w:t>
      </w:r>
      <w:bookmarkStart w:id="15" w:name="OLE_LINK12"/>
      <w:r>
        <w:rPr>
          <w:rFonts w:hint="default" w:eastAsia="等线"/>
          <w:b/>
          <w:bCs/>
          <w:i/>
          <w:iCs/>
          <w:lang w:val="en-US" w:eastAsia="zh-CN"/>
        </w:rPr>
        <w:t>‘</w:t>
      </w:r>
      <w:r>
        <w:rPr>
          <w:rFonts w:hint="eastAsia" w:eastAsia="等线"/>
          <w:b/>
          <w:bCs/>
          <w:i/>
          <w:iCs/>
          <w:lang w:val="en-US" w:eastAsia="zh-CN"/>
        </w:rPr>
        <w:t xml:space="preserve"> maximum </w:t>
      </w:r>
      <w:r>
        <w:rPr>
          <w:rFonts w:hint="default" w:eastAsia="宋体"/>
          <w:b/>
          <w:bCs/>
          <w:i/>
          <w:iCs/>
          <w:lang w:val="en-US" w:eastAsia="zh-CN"/>
        </w:rPr>
        <w:t>PSD imbalance</w:t>
      </w:r>
      <w:r>
        <w:rPr>
          <w:rFonts w:hint="default"/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bookmarkEnd w:id="15"/>
      <w:r>
        <w:rPr>
          <w:rFonts w:hint="eastAsia"/>
          <w:b/>
          <w:bCs/>
          <w:i/>
          <w:iCs/>
          <w:lang w:val="en-US" w:eastAsia="zh-CN"/>
        </w:rPr>
        <w:t>between DL</w:t>
      </w:r>
      <w:r>
        <w:rPr>
          <w:rFonts w:hint="default" w:eastAsia="宋体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CC is used</w:t>
      </w:r>
      <w:bookmarkEnd w:id="14"/>
      <w:r>
        <w:rPr>
          <w:rFonts w:hint="eastAsia"/>
          <w:b/>
          <w:bCs/>
          <w:i/>
          <w:iCs/>
          <w:lang w:val="en-US" w:eastAsia="zh-CN"/>
        </w:rPr>
        <w:t xml:space="preserve">, while for type 2 UE, </w:t>
      </w:r>
      <w:r>
        <w:rPr>
          <w:rFonts w:hint="default"/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P</w:t>
      </w:r>
      <w:r>
        <w:rPr>
          <w:rFonts w:hint="default"/>
          <w:b/>
          <w:bCs/>
          <w:i/>
          <w:iCs/>
          <w:lang w:val="en-US" w:eastAsia="zh-CN"/>
        </w:rPr>
        <w:t>ower imbalance’</w:t>
      </w:r>
      <w:r>
        <w:rPr>
          <w:rFonts w:hint="eastAsia"/>
          <w:b/>
          <w:bCs/>
          <w:i/>
          <w:iCs/>
          <w:lang w:val="en-US" w:eastAsia="zh-CN"/>
        </w:rPr>
        <w:t xml:space="preserve"> between DL CC is used, which looks </w:t>
      </w:r>
      <w:bookmarkStart w:id="16" w:name="OLE_LINK9"/>
      <w:r>
        <w:rPr>
          <w:rFonts w:hint="eastAsia"/>
          <w:b/>
          <w:bCs/>
          <w:i/>
          <w:iCs/>
          <w:lang w:val="en-US" w:eastAsia="zh-CN"/>
        </w:rPr>
        <w:t>inconsistency</w:t>
      </w:r>
      <w:bookmarkEnd w:id="16"/>
      <w:r>
        <w:rPr>
          <w:rFonts w:hint="eastAsia"/>
          <w:b/>
          <w:bCs/>
          <w:i/>
          <w:iCs/>
          <w:lang w:val="en-US" w:eastAsia="zh-CN"/>
        </w:rPr>
        <w:t>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current specification, there are no explicit definition for PSD imbalance while the power imbalance requirements are defined in sub-clause 7.10.A.1 in TS38.101-1, also in TS38.101-3.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/>
          <w:highlight w:val="none"/>
          <w:lang w:val="en-US" w:eastAsia="zh-CN"/>
        </w:rPr>
      </w:pPr>
      <w:r>
        <w:drawing>
          <wp:inline distT="0" distB="0" distL="114300" distR="114300">
            <wp:extent cx="6132830" cy="760730"/>
            <wp:effectExtent l="0" t="0" r="127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283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 w:eastAsia="等线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>Observation 2:</w:t>
      </w:r>
      <w:r>
        <w:rPr>
          <w:rFonts w:hint="eastAsia" w:eastAsia="等线"/>
          <w:b/>
          <w:bCs/>
          <w:i/>
          <w:iCs/>
          <w:lang w:val="en-US" w:eastAsia="zh-CN"/>
        </w:rPr>
        <w:t xml:space="preserve"> In the specs, there are explicit definitions for power imbalance requirements, while no such definitions for PSD requirements.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 w:eastAsia="等线"/>
          <w:b w:val="0"/>
          <w:bCs w:val="0"/>
          <w:lang w:val="en-US" w:eastAsia="zh-CN"/>
        </w:rPr>
        <w:t xml:space="preserve">For NR inter-band CA/ENDC band combinations with two closed band, it seems that 6dB </w:t>
      </w:r>
      <w:r>
        <w:rPr>
          <w:rFonts w:hint="default" w:eastAsia="等线"/>
          <w:b w:val="0"/>
          <w:bCs w:val="0"/>
          <w:lang w:val="en-US" w:eastAsia="zh-CN"/>
        </w:rPr>
        <w:t>value</w:t>
      </w:r>
      <w:r>
        <w:rPr>
          <w:rFonts w:hint="eastAsia" w:eastAsia="等线"/>
          <w:b w:val="0"/>
          <w:bCs w:val="0"/>
          <w:lang w:val="en-US" w:eastAsia="zh-CN"/>
        </w:rPr>
        <w:t xml:space="preserve"> between two CCs comes from LTE , </w:t>
      </w:r>
      <w:r>
        <w:rPr>
          <w:rFonts w:hint="eastAsia"/>
          <w:highlight w:val="none"/>
          <w:lang w:val="en-US" w:eastAsia="zh-CN"/>
        </w:rPr>
        <w:t xml:space="preserve">and the limitation between CCs for LTE inter-band CA and NR inter-band CA is power imbalance. Table 2 shows some content of [2] from which we can find that power imbalance is used to limit the difference between 2 CCs. </w:t>
      </w:r>
    </w:p>
    <w:p>
      <w:pPr>
        <w:pStyle w:val="62"/>
        <w:keepNext/>
        <w:keepLines/>
        <w:widowControl w:val="0"/>
        <w:spacing w:before="120" w:after="120"/>
        <w:ind w:left="0" w:firstLine="0"/>
        <w:jc w:val="center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Table 2 Partial content from Table 5.5A.3.2-1[2]</w:t>
      </w:r>
    </w:p>
    <w:tbl>
      <w:tblPr>
        <w:tblStyle w:val="22"/>
        <w:tblW w:w="4738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2831"/>
        <w:gridCol w:w="666"/>
        <w:gridCol w:w="1876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Calibri" w:hAnsi="Calibri" w:eastAsia="宋体" w:cs="Times New Roman"/>
                <w:b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US" w:eastAsia="zh-CN" w:bidi="ar-SA"/>
              </w:rPr>
              <w:t>NR CA configuration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US" w:eastAsia="zh-CN" w:bidi="ar-SA"/>
              </w:rPr>
              <w:t>Uplink CA 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Calibri" w:hAnsi="Calibri" w:eastAsia="宋体" w:cs="Times New Roman"/>
                <w:b/>
                <w:sz w:val="21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US" w:eastAsia="zh-CN" w:bidi="ar-SA"/>
              </w:rPr>
              <w:t>or single uplink carrier</w:t>
            </w:r>
            <w:r>
              <w:rPr>
                <w:rFonts w:ascii="Arial" w:hAnsi="Arial" w:eastAsia="宋体" w:cs="Times New Roman"/>
                <w:b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Calibri" w:hAnsi="Calibri" w:eastAsia="宋体" w:cs="Times New Roman"/>
                <w:b/>
                <w:sz w:val="21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US" w:eastAsia="zh-CN" w:bidi="ar-SA"/>
              </w:rPr>
              <w:t>NR Band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US" w:eastAsia="zh-CN" w:bidi="ar-SA"/>
              </w:rPr>
              <w:t>Channel bandwidth (MHz) (NOTE 3)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Calibri" w:hAnsi="Calibri" w:eastAsia="宋体" w:cs="Times New Roman"/>
                <w:b/>
                <w:sz w:val="21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US" w:eastAsia="zh-CN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360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6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>CA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7</w:t>
            </w:r>
            <w:r>
              <w:rPr>
                <w:rFonts w:ascii="Arial" w:hAnsi="Arial" w:eastAsia="等线" w:cs="Times New Roman"/>
                <w:sz w:val="18"/>
                <w:lang w:val="sv-SE" w:eastAsia="en-US" w:bidi="ar-SA"/>
              </w:rPr>
              <w:t>A-</w:t>
            </w: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28A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-n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38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A</w:t>
            </w:r>
            <w:r>
              <w:rPr>
                <w:rFonts w:ascii="Arial" w:hAnsi="Arial" w:eastAsia="宋体" w:cs="Times New Roman"/>
                <w:sz w:val="18"/>
                <w:vertAlign w:val="superscript"/>
                <w:lang w:val="en-GB" w:eastAsia="zh-CN" w:bidi="ar-SA"/>
              </w:rPr>
              <w:t>11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 xml:space="preserve">5, </w:t>
            </w:r>
            <w:r>
              <w:rPr>
                <w:rFonts w:hint="eastAsia" w:ascii="Arial" w:hAnsi="Arial" w:eastAsia="等线" w:cs="Times New Roman"/>
                <w:sz w:val="18"/>
                <w:lang w:val="en-GB" w:eastAsia="en-US" w:bidi="ar-SA"/>
              </w:rPr>
              <w:t>1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0, 15, 20, 30, 40, 50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en-US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2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en-US" w:bidi="ar-SA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28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 xml:space="preserve">5, </w:t>
            </w:r>
            <w:r>
              <w:rPr>
                <w:rFonts w:hint="eastAsia" w:ascii="Arial" w:hAnsi="Arial" w:eastAsia="等线" w:cs="Times New Roman"/>
                <w:sz w:val="18"/>
                <w:lang w:val="en-GB" w:eastAsia="en-US" w:bidi="ar-SA"/>
              </w:rPr>
              <w:t>1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0, 15, 20</w:t>
            </w: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2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en-US" w:bidi="ar-SA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38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 xml:space="preserve">5, </w:t>
            </w:r>
            <w:r>
              <w:rPr>
                <w:rFonts w:hint="eastAsia" w:ascii="Arial" w:hAnsi="Arial" w:eastAsia="等线" w:cs="Times New Roman"/>
                <w:sz w:val="18"/>
                <w:lang w:val="en-GB" w:eastAsia="en-US" w:bidi="ar-SA"/>
              </w:rPr>
              <w:t>1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0, 15, 20, 30, 40</w:t>
            </w: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jc w:val="center"/>
              <w:rPr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NOTE 1: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This UE channel bandwidth is applicable only to downlink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  <w:t>NOTE 2: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  <w:tab/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  <w:t>For the 20 MHz bandwidth, the minimum requirements are specified for NR UL carrier frequencies confined to either 713-723 MHz or 728-738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NOTE 3:</w:t>
            </w:r>
            <w:r>
              <w:rPr>
                <w:rFonts w:ascii="Arial" w:hAnsi="Arial" w:eastAsia="Yu Mincho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Yu Mincho" w:cs="Times New Roman"/>
                <w:sz w:val="18"/>
                <w:lang w:val="en-US" w:eastAsia="zh-CN" w:bidi="ar-SA"/>
              </w:rPr>
              <w:tab/>
            </w:r>
            <w:r>
              <w:rPr>
                <w:rFonts w:ascii="Arial" w:hAnsi="Arial" w:eastAsia="Yu Mincho" w:cs="Times New Roman"/>
                <w:sz w:val="18"/>
                <w:lang w:val="en-US" w:eastAsia="zh-CN" w:bidi="ar-SA"/>
              </w:rPr>
              <w:t xml:space="preserve">The SCS of each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channel bandwidth for NR band refers to Table 5.3.5-1.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NOTE 4: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The minimum requirements only apply for non-simultaneous Tx/Rx between all carriers for TDD combinations.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NOTE 5: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Simultaneous Rx/Tx capability for TDD combinations does not apply for UEs supporting band n78 with an n77 implementation.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NOTE 6: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Only single uplink carriers with power class other than PC3 are listed.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NOTE 7: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Minimum requirements for Power Class 2 are applicable for this uplink combination or single uplink carrier in this downlink/uplink combination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NOTE 8: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NOTE 9: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ab/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Minimum requirements for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  <w:t>Power Class 1.5 are applicable for single uplink carrier in this downlink/uplink combination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N</w:t>
            </w: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OTE 10: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 xml:space="preserve">For a band combination which include band n7 and n38 simultaneously, carriers in band n7 and n38 can only be configured as downlink carriers. </w:t>
            </w:r>
            <w:r>
              <w:rPr>
                <w:rFonts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  <w:t>Power imbalance between downlink carriers on Band n7 and Band n38 is assumed to be within 6dB</w:t>
            </w: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Arial"/>
                <w:sz w:val="18"/>
                <w:szCs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NOTE</w:t>
            </w: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 xml:space="preserve"> 11: </w:t>
            </w:r>
            <w:r>
              <w:rPr>
                <w:rFonts w:ascii="Arial" w:hAnsi="Arial" w:eastAsia="PMingLiU" w:cs="Arial"/>
                <w:sz w:val="18"/>
                <w:lang w:val="en-GB" w:eastAsia="zh-TW" w:bidi="ar-SA"/>
              </w:rPr>
              <w:t>UL carrier shall be supported in Band n28 only. Power imbalance between downlink carriers on Band 7 and Band 38 is assumed to be within 6dB.</w:t>
            </w:r>
          </w:p>
        </w:tc>
      </w:tr>
    </w:tbl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/>
          <w:b/>
          <w:bCs/>
          <w:i/>
          <w:iCs/>
          <w:highlight w:val="none"/>
          <w:lang w:val="en-US" w:eastAsia="zh-CN"/>
        </w:rPr>
      </w:pPr>
      <w:bookmarkStart w:id="17" w:name="OLE_LINK16"/>
      <w:r>
        <w:rPr>
          <w:rFonts w:hint="default"/>
          <w:b/>
          <w:bCs/>
          <w:i/>
          <w:iCs/>
          <w:kern w:val="2"/>
          <w:highlight w:val="none"/>
          <w:lang w:val="en-US" w:eastAsia="zh-CN"/>
        </w:rPr>
        <w:t>Observation 3</w:t>
      </w:r>
      <w:r>
        <w:rPr>
          <w:rFonts w:hint="default"/>
          <w:b/>
          <w:bCs/>
          <w:i/>
          <w:iCs/>
          <w:highlight w:val="none"/>
          <w:lang w:val="en-US" w:eastAsia="zh-CN"/>
        </w:rPr>
        <w:t xml:space="preserve">: </w:t>
      </w:r>
      <w:bookmarkEnd w:id="17"/>
      <w:r>
        <w:rPr>
          <w:rFonts w:hint="default" w:eastAsia="宋体"/>
          <w:b/>
          <w:bCs/>
          <w:i/>
          <w:iCs/>
          <w:lang w:val="en-US" w:eastAsia="zh-CN"/>
        </w:rPr>
        <w:t xml:space="preserve">6dB value for inter-band CA comes from LTE. But </w:t>
      </w:r>
      <w:r>
        <w:rPr>
          <w:rFonts w:hint="default"/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 xml:space="preserve">maximum </w:t>
      </w:r>
      <w:r>
        <w:rPr>
          <w:rFonts w:hint="default" w:eastAsia="宋体"/>
          <w:b/>
          <w:bCs/>
          <w:i/>
          <w:iCs/>
          <w:lang w:val="en-US" w:eastAsia="zh-CN"/>
        </w:rPr>
        <w:t>PSD imbalance</w:t>
      </w:r>
      <w:r>
        <w:rPr>
          <w:rFonts w:hint="default"/>
          <w:b/>
          <w:bCs/>
          <w:i/>
          <w:iCs/>
          <w:lang w:val="en-US" w:eastAsia="zh-CN"/>
        </w:rPr>
        <w:t xml:space="preserve">’ </w:t>
      </w:r>
      <w:bookmarkStart w:id="18" w:name="OLE_LINK15"/>
      <w:r>
        <w:rPr>
          <w:rFonts w:hint="default"/>
          <w:b/>
          <w:bCs/>
          <w:i/>
          <w:iCs/>
          <w:lang w:val="en-US" w:eastAsia="zh-CN"/>
        </w:rPr>
        <w:t>is used for intra-band CA</w:t>
      </w:r>
      <w:bookmarkEnd w:id="18"/>
      <w:r>
        <w:rPr>
          <w:rFonts w:hint="default"/>
          <w:b/>
          <w:bCs/>
          <w:i/>
          <w:iCs/>
          <w:lang w:val="en-US" w:eastAsia="zh-CN"/>
        </w:rPr>
        <w:t xml:space="preserve"> and </w:t>
      </w:r>
      <w:bookmarkStart w:id="19" w:name="OLE_LINK17"/>
      <w:r>
        <w:rPr>
          <w:rFonts w:hint="default"/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P</w:t>
      </w:r>
      <w:r>
        <w:rPr>
          <w:rFonts w:hint="default"/>
          <w:b/>
          <w:bCs/>
          <w:i/>
          <w:iCs/>
          <w:lang w:val="en-US" w:eastAsia="zh-CN"/>
        </w:rPr>
        <w:t>ower imbalance’</w:t>
      </w:r>
      <w:bookmarkEnd w:id="19"/>
      <w:r>
        <w:rPr>
          <w:rFonts w:hint="default"/>
          <w:b/>
          <w:bCs/>
          <w:i/>
          <w:iCs/>
          <w:lang w:val="en-US" w:eastAsia="zh-CN"/>
        </w:rPr>
        <w:t xml:space="preserve"> is used for inter-band CA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/>
          <w:lang w:val="en-US"/>
        </w:rPr>
      </w:pPr>
      <w:r>
        <w:rPr>
          <w:rFonts w:hint="eastAsia"/>
          <w:highlight w:val="none"/>
          <w:lang w:val="en-US" w:eastAsia="zh-CN"/>
        </w:rPr>
        <w:t>Through discussions with companies, it seems different companies have different understandings of using power imbalance or PSD imbalance to distinguish UE types. The following is from [3], we can see that the difference between CCs for different UE type is power imbalance.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eastAsia"/>
          <w:b/>
          <w:bCs/>
          <w:i/>
          <w:iCs/>
          <w:kern w:val="2"/>
          <w:highlight w:val="none"/>
          <w:lang w:val="en-US" w:eastAsia="zh-CN"/>
        </w:rPr>
      </w:pPr>
      <w:r>
        <w:drawing>
          <wp:inline distT="0" distB="0" distL="114300" distR="114300">
            <wp:extent cx="5981065" cy="2101215"/>
            <wp:effectExtent l="0" t="0" r="825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rcRect l="1782" t="2274" r="653"/>
                    <a:stretch>
                      <a:fillRect/>
                    </a:stretch>
                  </pic:blipFill>
                  <pic:spPr>
                    <a:xfrm>
                      <a:off x="0" y="0"/>
                      <a:ext cx="5981065" cy="210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/>
          <w:i/>
          <w:iCs/>
          <w:highlight w:val="none"/>
          <w:lang w:val="en-US" w:eastAsia="zh-CN"/>
        </w:rPr>
      </w:pPr>
      <w:r>
        <w:rPr>
          <w:rFonts w:hint="default"/>
          <w:b/>
          <w:bCs/>
          <w:i/>
          <w:iCs/>
          <w:kern w:val="2"/>
          <w:highlight w:val="none"/>
          <w:lang w:val="en-US" w:eastAsia="zh-CN"/>
        </w:rPr>
        <w:t xml:space="preserve">Observation </w:t>
      </w: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>4</w:t>
      </w:r>
      <w:r>
        <w:rPr>
          <w:rFonts w:hint="default"/>
          <w:b/>
          <w:bCs/>
          <w:i/>
          <w:iCs/>
          <w:kern w:val="2"/>
          <w:highlight w:val="none"/>
          <w:lang w:val="en-US" w:eastAsia="zh-CN"/>
        </w:rPr>
        <w:t>:</w:t>
      </w:r>
      <w:r>
        <w:rPr>
          <w:rFonts w:hint="default"/>
          <w:b/>
          <w:bCs/>
          <w:i/>
          <w:iCs/>
          <w:lang w:val="en-US" w:eastAsia="zh-CN"/>
        </w:rPr>
        <w:t xml:space="preserve"> ‘</w:t>
      </w:r>
      <w:r>
        <w:rPr>
          <w:rFonts w:hint="eastAsia"/>
          <w:b/>
          <w:bCs/>
          <w:i/>
          <w:iCs/>
          <w:lang w:val="en-US" w:eastAsia="zh-CN"/>
        </w:rPr>
        <w:t>Power imbalance</w:t>
      </w:r>
      <w:r>
        <w:rPr>
          <w:rFonts w:hint="default"/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is used for type 1 UE in the rapporteur R19 motivation paper.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the future release, more UE type such as type 3 and type 4 may be introduced. It is better to discuss whether a unified criteria such as power imbalance can be used for distinguishing these types.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Based on the above analysis, it is proposed to discuss whether power imbalance can be used for distinguishing type1 UE and type2 UE</w:t>
      </w:r>
      <w:r>
        <w:rPr>
          <w:rFonts w:hint="eastAsia"/>
          <w:highlight w:val="none"/>
          <w:vertAlign w:val="baseli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/>
          <w:i/>
          <w:iCs/>
          <w:highlight w:val="none"/>
          <w:lang w:val="en-US" w:eastAsia="zh-CN"/>
        </w:rPr>
      </w:pP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 xml:space="preserve">Proposal 1: To discuss whether to use the uniform description with the terms of </w:t>
      </w:r>
      <w:r>
        <w:rPr>
          <w:rFonts w:hint="default"/>
          <w:b/>
          <w:bCs/>
          <w:i/>
          <w:iCs/>
          <w:kern w:val="2"/>
          <w:highlight w:val="none"/>
          <w:lang w:val="en-US" w:eastAsia="zh-CN"/>
        </w:rPr>
        <w:t>‘</w:t>
      </w: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>Power imbalance</w:t>
      </w:r>
      <w:r>
        <w:rPr>
          <w:rFonts w:hint="default"/>
          <w:b/>
          <w:bCs/>
          <w:i/>
          <w:iCs/>
          <w:kern w:val="2"/>
          <w:highlight w:val="none"/>
          <w:lang w:val="en-US" w:eastAsia="zh-CN"/>
        </w:rPr>
        <w:t>’</w:t>
      </w: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 xml:space="preserve"> for type1 UE.</w:t>
      </w:r>
    </w:p>
    <w:bookmarkEnd w:id="5"/>
    <w:bookmarkEnd w:id="6"/>
    <w:bookmarkEnd w:id="7"/>
    <w:bookmarkEnd w:id="8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widowControl w:val="0"/>
        <w:numPr>
          <w:ilvl w:val="255"/>
          <w:numId w:val="0"/>
        </w:numPr>
        <w:spacing w:before="120" w:beforeLines="0" w:after="120" w:afterLines="0" w:line="240" w:lineRule="auto"/>
        <w:jc w:val="left"/>
        <w:rPr>
          <w:rFonts w:hint="eastAsia"/>
          <w:sz w:val="20"/>
          <w:highlight w:val="none"/>
        </w:rPr>
      </w:pPr>
      <w:r>
        <w:rPr>
          <w:rFonts w:hint="eastAsia"/>
          <w:sz w:val="20"/>
          <w:highlight w:val="none"/>
        </w:rPr>
        <w:t xml:space="preserve">In this contribution, we give some </w:t>
      </w:r>
      <w:r>
        <w:rPr>
          <w:rFonts w:hint="eastAsia"/>
          <w:sz w:val="20"/>
          <w:highlight w:val="none"/>
          <w:lang w:val="en-US" w:eastAsia="zh-CN"/>
        </w:rPr>
        <w:t>considerations</w:t>
      </w:r>
      <w:r>
        <w:rPr>
          <w:rFonts w:hint="eastAsia"/>
          <w:sz w:val="20"/>
          <w:highlight w:val="none"/>
        </w:rPr>
        <w:t xml:space="preserve"> for</w:t>
      </w:r>
      <w:r>
        <w:rPr>
          <w:rFonts w:hint="eastAsia"/>
          <w:sz w:val="20"/>
          <w:highlight w:val="none"/>
          <w:lang w:val="en-US" w:eastAsia="zh-CN"/>
        </w:rPr>
        <w:t xml:space="preserve"> the RF requirements of </w:t>
      </w:r>
      <w:r>
        <w:rPr>
          <w:rFonts w:hint="eastAsia"/>
          <w:sz w:val="20"/>
          <w:highlight w:val="none"/>
        </w:rPr>
        <w:t>intra-band non-collocated</w:t>
      </w:r>
      <w:r>
        <w:rPr>
          <w:rFonts w:hint="eastAsia"/>
          <w:sz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highlight w:val="none"/>
        </w:rPr>
        <w:t>EN-DC/NR-CA</w:t>
      </w:r>
      <w:r>
        <w:rPr>
          <w:rFonts w:hint="eastAsia"/>
          <w:sz w:val="20"/>
          <w:highlight w:val="none"/>
          <w:lang w:val="en-US" w:eastAsia="zh-CN"/>
        </w:rPr>
        <w:t xml:space="preserve"> type1 and type2.</w:t>
      </w:r>
      <w:r>
        <w:rPr>
          <w:rFonts w:hint="eastAsia"/>
          <w:sz w:val="20"/>
          <w:highlight w:val="none"/>
        </w:rPr>
        <w:t xml:space="preserve"> 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 w:eastAsia="等线"/>
          <w:b/>
          <w:bCs/>
          <w:i/>
          <w:iCs/>
          <w:highlight w:val="none"/>
          <w:lang w:val="en-US" w:eastAsia="zh-CN"/>
        </w:rPr>
      </w:pP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>Observation 1:</w:t>
      </w:r>
      <w:r>
        <w:rPr>
          <w:rFonts w:hint="eastAsia" w:eastAsia="等线"/>
          <w:b/>
          <w:bCs/>
          <w:i/>
          <w:iCs/>
          <w:lang w:val="en-US" w:eastAsia="zh-CN"/>
        </w:rPr>
        <w:t xml:space="preserve"> For type 1 UE, </w:t>
      </w:r>
      <w:r>
        <w:rPr>
          <w:rFonts w:hint="default" w:eastAsia="等线"/>
          <w:b/>
          <w:bCs/>
          <w:i/>
          <w:iCs/>
          <w:lang w:val="en-US" w:eastAsia="zh-CN"/>
        </w:rPr>
        <w:t>‘</w:t>
      </w:r>
      <w:r>
        <w:rPr>
          <w:rFonts w:hint="eastAsia" w:eastAsia="等线"/>
          <w:b/>
          <w:bCs/>
          <w:i/>
          <w:iCs/>
          <w:lang w:val="en-US" w:eastAsia="zh-CN"/>
        </w:rPr>
        <w:t xml:space="preserve">maximum </w:t>
      </w:r>
      <w:r>
        <w:rPr>
          <w:rFonts w:hint="default" w:eastAsia="宋体"/>
          <w:b/>
          <w:bCs/>
          <w:i/>
          <w:iCs/>
          <w:lang w:val="en-US" w:eastAsia="zh-CN"/>
        </w:rPr>
        <w:t>PSD imbalance</w:t>
      </w:r>
      <w:r>
        <w:rPr>
          <w:rFonts w:hint="default"/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between DL</w:t>
      </w:r>
      <w:r>
        <w:rPr>
          <w:rFonts w:hint="default" w:eastAsia="宋体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 xml:space="preserve">CC is used, while for type 2 UE, </w:t>
      </w:r>
      <w:r>
        <w:rPr>
          <w:rFonts w:hint="default"/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P</w:t>
      </w:r>
      <w:r>
        <w:rPr>
          <w:rFonts w:hint="default"/>
          <w:b/>
          <w:bCs/>
          <w:i/>
          <w:iCs/>
          <w:lang w:val="en-US" w:eastAsia="zh-CN"/>
        </w:rPr>
        <w:t>ower imbalance’</w:t>
      </w:r>
      <w:r>
        <w:rPr>
          <w:rFonts w:hint="eastAsia"/>
          <w:b/>
          <w:bCs/>
          <w:i/>
          <w:iCs/>
          <w:lang w:val="en-US" w:eastAsia="zh-CN"/>
        </w:rPr>
        <w:t xml:space="preserve"> between DL CC is used, which looks inconsistency.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 w:eastAsia="等线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 xml:space="preserve">Observation 2: </w:t>
      </w:r>
      <w:r>
        <w:rPr>
          <w:rFonts w:hint="eastAsia" w:eastAsia="等线"/>
          <w:b/>
          <w:bCs/>
          <w:i/>
          <w:iCs/>
          <w:lang w:val="en-US" w:eastAsia="zh-CN"/>
        </w:rPr>
        <w:t>In the specs, there are explicit definitions for power imbalance requirements, while no such definitions for PSD requirements.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/>
          <w:b/>
          <w:bCs/>
          <w:i/>
          <w:iCs/>
          <w:highlight w:val="none"/>
          <w:lang w:val="en-US" w:eastAsia="zh-CN"/>
        </w:rPr>
      </w:pPr>
      <w:r>
        <w:rPr>
          <w:rFonts w:hint="default"/>
          <w:b/>
          <w:bCs/>
          <w:i/>
          <w:iCs/>
          <w:kern w:val="2"/>
          <w:highlight w:val="none"/>
          <w:lang w:val="en-US" w:eastAsia="zh-CN"/>
        </w:rPr>
        <w:t>Observation 3:</w:t>
      </w:r>
      <w:r>
        <w:rPr>
          <w:rFonts w:hint="default"/>
          <w:b/>
          <w:bCs/>
          <w:i/>
          <w:iCs/>
          <w:highlight w:val="none"/>
          <w:lang w:val="en-US" w:eastAsia="zh-CN"/>
        </w:rPr>
        <w:t xml:space="preserve"> </w:t>
      </w:r>
      <w:r>
        <w:rPr>
          <w:rFonts w:hint="default" w:eastAsia="宋体"/>
          <w:b/>
          <w:bCs/>
          <w:i/>
          <w:iCs/>
          <w:lang w:val="en-US" w:eastAsia="zh-CN"/>
        </w:rPr>
        <w:t xml:space="preserve">6dB value for inter-band CA comes from LTE. But </w:t>
      </w:r>
      <w:r>
        <w:rPr>
          <w:rFonts w:hint="default"/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 xml:space="preserve">maximum </w:t>
      </w:r>
      <w:r>
        <w:rPr>
          <w:rFonts w:hint="default" w:eastAsia="宋体"/>
          <w:b/>
          <w:bCs/>
          <w:i/>
          <w:iCs/>
          <w:lang w:val="en-US" w:eastAsia="zh-CN"/>
        </w:rPr>
        <w:t>PSD imbalance</w:t>
      </w:r>
      <w:r>
        <w:rPr>
          <w:rFonts w:hint="default"/>
          <w:b/>
          <w:bCs/>
          <w:i/>
          <w:iCs/>
          <w:lang w:val="en-US" w:eastAsia="zh-CN"/>
        </w:rPr>
        <w:t>’ is used for intra-band CA and ’</w:t>
      </w:r>
      <w:r>
        <w:rPr>
          <w:rFonts w:hint="eastAsia"/>
          <w:b/>
          <w:bCs/>
          <w:i/>
          <w:iCs/>
          <w:lang w:val="en-US" w:eastAsia="zh-CN"/>
        </w:rPr>
        <w:t>P</w:t>
      </w:r>
      <w:r>
        <w:rPr>
          <w:rFonts w:hint="default"/>
          <w:b/>
          <w:bCs/>
          <w:i/>
          <w:iCs/>
          <w:lang w:val="en-US" w:eastAsia="zh-CN"/>
        </w:rPr>
        <w:t>ower imbalance’ is used for inter-band CA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/>
          <w:i/>
          <w:iCs/>
          <w:sz w:val="20"/>
          <w:highlight w:val="none"/>
          <w:lang w:val="en-US"/>
        </w:rPr>
      </w:pPr>
      <w:r>
        <w:rPr>
          <w:rFonts w:hint="default"/>
          <w:b/>
          <w:bCs/>
          <w:i/>
          <w:iCs/>
          <w:kern w:val="2"/>
          <w:highlight w:val="none"/>
          <w:lang w:val="en-US" w:eastAsia="zh-CN"/>
        </w:rPr>
        <w:t xml:space="preserve">Observation </w:t>
      </w: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>4</w:t>
      </w:r>
      <w:r>
        <w:rPr>
          <w:rFonts w:hint="default"/>
          <w:b/>
          <w:bCs/>
          <w:i/>
          <w:iCs/>
          <w:kern w:val="2"/>
          <w:highlight w:val="none"/>
          <w:lang w:val="en-US" w:eastAsia="zh-CN"/>
        </w:rPr>
        <w:t>:</w:t>
      </w:r>
      <w:r>
        <w:rPr>
          <w:rFonts w:hint="default"/>
          <w:b/>
          <w:bCs/>
          <w:i/>
          <w:iCs/>
          <w:lang w:val="en-US" w:eastAsia="zh-CN"/>
        </w:rPr>
        <w:t xml:space="preserve"> ‘</w:t>
      </w:r>
      <w:r>
        <w:rPr>
          <w:rFonts w:hint="eastAsia"/>
          <w:b/>
          <w:bCs/>
          <w:i/>
          <w:iCs/>
          <w:lang w:val="en-US" w:eastAsia="zh-CN"/>
        </w:rPr>
        <w:t>Power imbalance</w:t>
      </w:r>
      <w:r>
        <w:rPr>
          <w:rFonts w:hint="default"/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is used for type 1 UE in the rapporteur R19 motivation paper.</w:t>
      </w:r>
    </w:p>
    <w:p>
      <w:pPr>
        <w:pStyle w:val="62"/>
        <w:keepNext/>
        <w:keepLines/>
        <w:widowControl w:val="0"/>
        <w:spacing w:before="120" w:after="120"/>
        <w:ind w:left="0" w:firstLine="0"/>
        <w:rPr>
          <w:rFonts w:hint="default"/>
          <w:i/>
          <w:iCs/>
          <w:highlight w:val="none"/>
          <w:lang w:val="en-US" w:eastAsia="zh-CN"/>
        </w:rPr>
      </w:pP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 xml:space="preserve">Proposal 1: To discuss whether to use the uniform description with the terms of </w:t>
      </w:r>
      <w:r>
        <w:rPr>
          <w:rFonts w:hint="default"/>
          <w:b/>
          <w:bCs/>
          <w:i/>
          <w:iCs/>
          <w:kern w:val="2"/>
          <w:highlight w:val="none"/>
          <w:lang w:val="en-US" w:eastAsia="zh-CN"/>
        </w:rPr>
        <w:t>‘</w:t>
      </w: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>Power imbalance</w:t>
      </w:r>
      <w:r>
        <w:rPr>
          <w:rFonts w:hint="default"/>
          <w:b/>
          <w:bCs/>
          <w:i/>
          <w:iCs/>
          <w:kern w:val="2"/>
          <w:highlight w:val="none"/>
          <w:lang w:val="en-US" w:eastAsia="zh-CN"/>
        </w:rPr>
        <w:t>’</w:t>
      </w:r>
      <w:r>
        <w:rPr>
          <w:rFonts w:hint="eastAsia"/>
          <w:b/>
          <w:bCs/>
          <w:i/>
          <w:iCs/>
          <w:kern w:val="2"/>
          <w:highlight w:val="none"/>
          <w:lang w:val="en-US" w:eastAsia="zh-CN"/>
        </w:rPr>
        <w:t xml:space="preserve"> for type1 UE.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200" w:hanging="200" w:hangingChars="100"/>
        <w:jc w:val="left"/>
        <w:rPr>
          <w:rFonts w:hint="default"/>
          <w:sz w:val="20"/>
          <w:highlight w:val="none"/>
          <w:lang w:val="en-US" w:eastAsia="zh-CN"/>
        </w:rPr>
      </w:pPr>
      <w:r>
        <w:rPr>
          <w:rFonts w:hint="eastAsia"/>
          <w:sz w:val="20"/>
          <w:highlight w:val="none"/>
        </w:rPr>
        <w:t xml:space="preserve">[1] </w:t>
      </w:r>
      <w:bookmarkStart w:id="20" w:name="OLE_LINK32"/>
      <w:r>
        <w:rPr>
          <w:rFonts w:hint="eastAsia"/>
          <w:sz w:val="20"/>
          <w:highlight w:val="none"/>
          <w:lang w:val="en-US" w:eastAsia="zh-CN"/>
        </w:rPr>
        <w:t xml:space="preserve"> </w:t>
      </w:r>
      <w:bookmarkEnd w:id="20"/>
      <w:r>
        <w:rPr>
          <w:rFonts w:hint="eastAsia"/>
          <w:sz w:val="20"/>
          <w:highlight w:val="none"/>
          <w:lang w:val="en-US" w:eastAsia="zh-CN"/>
        </w:rPr>
        <w:t>R4-2321995_Rel-18 CR for 38.101-3 New BS signalling implementation for non-collocated scenario, Samsung, KDDI, ZTE, Mediatek, Nokia, Huawei, Cybercore, Apple</w:t>
      </w:r>
    </w:p>
    <w:p>
      <w:pPr>
        <w:keepNext/>
        <w:keepLines/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highlight w:val="none"/>
          <w:lang w:val="en-US" w:eastAsia="zh-CN"/>
        </w:rPr>
      </w:pPr>
      <w:r>
        <w:rPr>
          <w:rFonts w:hint="eastAsia"/>
          <w:sz w:val="20"/>
          <w:highlight w:val="none"/>
          <w:lang w:val="en-US" w:eastAsia="zh-CN"/>
        </w:rPr>
        <w:t>[2]  3gpp TS38.101-1-i40</w:t>
      </w:r>
    </w:p>
    <w:p>
      <w:pPr>
        <w:keepNext/>
        <w:keepLines/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highlight w:val="none"/>
          <w:lang w:val="en-US" w:eastAsia="zh-CN"/>
        </w:rPr>
      </w:pPr>
      <w:r>
        <w:rPr>
          <w:rFonts w:hint="eastAsia"/>
          <w:sz w:val="20"/>
          <w:highlight w:val="none"/>
          <w:lang w:val="en-US" w:eastAsia="zh-CN"/>
        </w:rPr>
        <w:t>[3]  RP-233516 Intra-band non-collocated EN-DC/NR-CA in Release 19, KDDI, Docomo, KT, LG Uplus, SoftBank</w:t>
      </w:r>
    </w:p>
    <w:p>
      <w:pPr>
        <w:keepNext/>
        <w:keepLines/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highlight w:val="none"/>
          <w:lang w:val="en-US" w:eastAsia="zh-CN"/>
        </w:rPr>
      </w:pPr>
    </w:p>
    <w:p>
      <w:pPr>
        <w:keepNext/>
        <w:keepLines/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highlight w:val="none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157E7C"/>
    <w:multiLevelType w:val="multilevel"/>
    <w:tmpl w:val="97157E7C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2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18F7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61CE1"/>
    <w:rsid w:val="01D866D8"/>
    <w:rsid w:val="01E309CA"/>
    <w:rsid w:val="01EE2663"/>
    <w:rsid w:val="01F90434"/>
    <w:rsid w:val="01FB366B"/>
    <w:rsid w:val="01FD3930"/>
    <w:rsid w:val="02045ABB"/>
    <w:rsid w:val="02093435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8421B"/>
    <w:rsid w:val="033C68CE"/>
    <w:rsid w:val="03445E8F"/>
    <w:rsid w:val="03496C64"/>
    <w:rsid w:val="035154D3"/>
    <w:rsid w:val="03527C38"/>
    <w:rsid w:val="0356746F"/>
    <w:rsid w:val="036E37C2"/>
    <w:rsid w:val="03746F87"/>
    <w:rsid w:val="03756221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10136"/>
    <w:rsid w:val="04030035"/>
    <w:rsid w:val="04251A4C"/>
    <w:rsid w:val="042D2E97"/>
    <w:rsid w:val="04305EA0"/>
    <w:rsid w:val="04310833"/>
    <w:rsid w:val="04343921"/>
    <w:rsid w:val="043865BF"/>
    <w:rsid w:val="043A14AD"/>
    <w:rsid w:val="043E7997"/>
    <w:rsid w:val="044C78D8"/>
    <w:rsid w:val="04537B11"/>
    <w:rsid w:val="04684A28"/>
    <w:rsid w:val="046C0EAE"/>
    <w:rsid w:val="0474191D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EE4D92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C13A8"/>
    <w:rsid w:val="073D143C"/>
    <w:rsid w:val="074855FD"/>
    <w:rsid w:val="07627CA0"/>
    <w:rsid w:val="076319C4"/>
    <w:rsid w:val="076925D2"/>
    <w:rsid w:val="07697B7D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7F70829"/>
    <w:rsid w:val="07FC3AEE"/>
    <w:rsid w:val="07FD2652"/>
    <w:rsid w:val="080124E3"/>
    <w:rsid w:val="080C7FA0"/>
    <w:rsid w:val="08134131"/>
    <w:rsid w:val="08193C24"/>
    <w:rsid w:val="08234820"/>
    <w:rsid w:val="082970FB"/>
    <w:rsid w:val="08341060"/>
    <w:rsid w:val="08667591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A73D6"/>
    <w:rsid w:val="08FC0AA5"/>
    <w:rsid w:val="092D4AEA"/>
    <w:rsid w:val="09306537"/>
    <w:rsid w:val="09355076"/>
    <w:rsid w:val="09392119"/>
    <w:rsid w:val="09414DB4"/>
    <w:rsid w:val="09445E95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F6364"/>
    <w:rsid w:val="0A646846"/>
    <w:rsid w:val="0A8251CA"/>
    <w:rsid w:val="0A8828AB"/>
    <w:rsid w:val="0A927DC1"/>
    <w:rsid w:val="0A9B4F7F"/>
    <w:rsid w:val="0A9C263A"/>
    <w:rsid w:val="0A9E3D3D"/>
    <w:rsid w:val="0AA077E0"/>
    <w:rsid w:val="0AA614F2"/>
    <w:rsid w:val="0AC01F88"/>
    <w:rsid w:val="0AC0212C"/>
    <w:rsid w:val="0ACE5B04"/>
    <w:rsid w:val="0AD542C1"/>
    <w:rsid w:val="0ADD5A20"/>
    <w:rsid w:val="0AE10FD9"/>
    <w:rsid w:val="0AF13898"/>
    <w:rsid w:val="0AF64C14"/>
    <w:rsid w:val="0AFB3228"/>
    <w:rsid w:val="0AFC6C07"/>
    <w:rsid w:val="0B0025CC"/>
    <w:rsid w:val="0B0250FD"/>
    <w:rsid w:val="0B0F025C"/>
    <w:rsid w:val="0B1A6333"/>
    <w:rsid w:val="0B2713F4"/>
    <w:rsid w:val="0B3D701F"/>
    <w:rsid w:val="0B3E7DD7"/>
    <w:rsid w:val="0B561995"/>
    <w:rsid w:val="0B5C2C2A"/>
    <w:rsid w:val="0B663D2C"/>
    <w:rsid w:val="0B665E0A"/>
    <w:rsid w:val="0B6A3C32"/>
    <w:rsid w:val="0B743FE2"/>
    <w:rsid w:val="0B847B39"/>
    <w:rsid w:val="0B987E20"/>
    <w:rsid w:val="0B9E71DF"/>
    <w:rsid w:val="0BAB2EDD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DA476A"/>
    <w:rsid w:val="0BF916CE"/>
    <w:rsid w:val="0C04318C"/>
    <w:rsid w:val="0C0A1662"/>
    <w:rsid w:val="0C1E494F"/>
    <w:rsid w:val="0C1F111C"/>
    <w:rsid w:val="0C2212D5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97ACF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3745A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BB5FF9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63683"/>
    <w:rsid w:val="0E2F216B"/>
    <w:rsid w:val="0E3352C6"/>
    <w:rsid w:val="0E3A5EE2"/>
    <w:rsid w:val="0E4134D7"/>
    <w:rsid w:val="0E4D4690"/>
    <w:rsid w:val="0E542F3B"/>
    <w:rsid w:val="0E6271DF"/>
    <w:rsid w:val="0E81568A"/>
    <w:rsid w:val="0E942250"/>
    <w:rsid w:val="0E963344"/>
    <w:rsid w:val="0E9E6E00"/>
    <w:rsid w:val="0EA40C1C"/>
    <w:rsid w:val="0EB1720D"/>
    <w:rsid w:val="0EB72E4B"/>
    <w:rsid w:val="0EBB2BA1"/>
    <w:rsid w:val="0EC0268E"/>
    <w:rsid w:val="0EEC6F1D"/>
    <w:rsid w:val="0F103291"/>
    <w:rsid w:val="0F1D498B"/>
    <w:rsid w:val="0F1E5A47"/>
    <w:rsid w:val="0F337178"/>
    <w:rsid w:val="0F3B15FC"/>
    <w:rsid w:val="0F3E0B68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21B84"/>
    <w:rsid w:val="102747A4"/>
    <w:rsid w:val="10345B7F"/>
    <w:rsid w:val="103F19C7"/>
    <w:rsid w:val="104A023B"/>
    <w:rsid w:val="10505F3B"/>
    <w:rsid w:val="106D2686"/>
    <w:rsid w:val="107C3E2C"/>
    <w:rsid w:val="107D41AE"/>
    <w:rsid w:val="108C2479"/>
    <w:rsid w:val="10A964C5"/>
    <w:rsid w:val="10C715C5"/>
    <w:rsid w:val="10D335EF"/>
    <w:rsid w:val="10E746EA"/>
    <w:rsid w:val="10E83FE0"/>
    <w:rsid w:val="10EC3168"/>
    <w:rsid w:val="10F52718"/>
    <w:rsid w:val="114028DC"/>
    <w:rsid w:val="1141355F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9F6929"/>
    <w:rsid w:val="11A615EE"/>
    <w:rsid w:val="11A658F4"/>
    <w:rsid w:val="11A849BE"/>
    <w:rsid w:val="11B91A57"/>
    <w:rsid w:val="11C67B8F"/>
    <w:rsid w:val="11CE730E"/>
    <w:rsid w:val="11D720F9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B2749"/>
    <w:rsid w:val="128C7ED5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4685B"/>
    <w:rsid w:val="1307341C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85849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419E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7978B5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4D342A"/>
    <w:rsid w:val="15520877"/>
    <w:rsid w:val="1559587F"/>
    <w:rsid w:val="1574662E"/>
    <w:rsid w:val="15751882"/>
    <w:rsid w:val="1575191B"/>
    <w:rsid w:val="157818C6"/>
    <w:rsid w:val="15916B42"/>
    <w:rsid w:val="159F73BB"/>
    <w:rsid w:val="15B03F28"/>
    <w:rsid w:val="15B95373"/>
    <w:rsid w:val="15E30A80"/>
    <w:rsid w:val="15E73E3D"/>
    <w:rsid w:val="1608480E"/>
    <w:rsid w:val="161C1C58"/>
    <w:rsid w:val="161D2C84"/>
    <w:rsid w:val="162F7556"/>
    <w:rsid w:val="16307A49"/>
    <w:rsid w:val="16413A3A"/>
    <w:rsid w:val="1644500C"/>
    <w:rsid w:val="16461A95"/>
    <w:rsid w:val="16594F06"/>
    <w:rsid w:val="165A38E6"/>
    <w:rsid w:val="16614A3A"/>
    <w:rsid w:val="166F5E80"/>
    <w:rsid w:val="16766A92"/>
    <w:rsid w:val="167A52A9"/>
    <w:rsid w:val="167B7B40"/>
    <w:rsid w:val="167C6594"/>
    <w:rsid w:val="167F6865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42BB0"/>
    <w:rsid w:val="16FD2447"/>
    <w:rsid w:val="1712339A"/>
    <w:rsid w:val="171A7EA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C9089D"/>
    <w:rsid w:val="18CA40C3"/>
    <w:rsid w:val="18CD7A02"/>
    <w:rsid w:val="18ED46F4"/>
    <w:rsid w:val="19001FFC"/>
    <w:rsid w:val="190E2B4A"/>
    <w:rsid w:val="19191913"/>
    <w:rsid w:val="191F7D1E"/>
    <w:rsid w:val="19256D7A"/>
    <w:rsid w:val="192A7C07"/>
    <w:rsid w:val="193275C2"/>
    <w:rsid w:val="194D2005"/>
    <w:rsid w:val="195A4558"/>
    <w:rsid w:val="195F34F6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A054259"/>
    <w:rsid w:val="1A081816"/>
    <w:rsid w:val="1A090888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94343"/>
    <w:rsid w:val="1B2160BB"/>
    <w:rsid w:val="1B35751E"/>
    <w:rsid w:val="1B3637AD"/>
    <w:rsid w:val="1B3E0DB5"/>
    <w:rsid w:val="1B454C94"/>
    <w:rsid w:val="1B5E461A"/>
    <w:rsid w:val="1B6C0DF0"/>
    <w:rsid w:val="1B7416EE"/>
    <w:rsid w:val="1B7F6005"/>
    <w:rsid w:val="1B8E34AA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4326B3"/>
    <w:rsid w:val="1D4E496B"/>
    <w:rsid w:val="1D56717F"/>
    <w:rsid w:val="1D5F5386"/>
    <w:rsid w:val="1D7072CE"/>
    <w:rsid w:val="1D794A16"/>
    <w:rsid w:val="1D9D7FD8"/>
    <w:rsid w:val="1D9E30A9"/>
    <w:rsid w:val="1DAB1006"/>
    <w:rsid w:val="1DB33C11"/>
    <w:rsid w:val="1DC325E3"/>
    <w:rsid w:val="1DC65562"/>
    <w:rsid w:val="1DE94164"/>
    <w:rsid w:val="1DEE1B11"/>
    <w:rsid w:val="1E1149E3"/>
    <w:rsid w:val="1E164B52"/>
    <w:rsid w:val="1E273844"/>
    <w:rsid w:val="1E2F243E"/>
    <w:rsid w:val="1E3B4F6B"/>
    <w:rsid w:val="1E3F301D"/>
    <w:rsid w:val="1E437254"/>
    <w:rsid w:val="1E455D19"/>
    <w:rsid w:val="1E4F13EA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C61AA3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1FF421DE"/>
    <w:rsid w:val="200D4387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0F109BC"/>
    <w:rsid w:val="210548E9"/>
    <w:rsid w:val="21124D15"/>
    <w:rsid w:val="211C6B81"/>
    <w:rsid w:val="212A7EE2"/>
    <w:rsid w:val="2137226B"/>
    <w:rsid w:val="213E7119"/>
    <w:rsid w:val="21530058"/>
    <w:rsid w:val="21685FC8"/>
    <w:rsid w:val="21732704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ED400D"/>
    <w:rsid w:val="23F70BA5"/>
    <w:rsid w:val="23F93D0D"/>
    <w:rsid w:val="2405417E"/>
    <w:rsid w:val="241B5C62"/>
    <w:rsid w:val="243464C3"/>
    <w:rsid w:val="24352A14"/>
    <w:rsid w:val="243B2F20"/>
    <w:rsid w:val="2458381E"/>
    <w:rsid w:val="245872F9"/>
    <w:rsid w:val="245943D9"/>
    <w:rsid w:val="245E6B64"/>
    <w:rsid w:val="2463385E"/>
    <w:rsid w:val="248F4B88"/>
    <w:rsid w:val="24967323"/>
    <w:rsid w:val="249D5FC8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068E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BE6142"/>
    <w:rsid w:val="28C96C14"/>
    <w:rsid w:val="28E138E3"/>
    <w:rsid w:val="28E55F62"/>
    <w:rsid w:val="28E74216"/>
    <w:rsid w:val="28E87EE4"/>
    <w:rsid w:val="28FE42C1"/>
    <w:rsid w:val="28FF2940"/>
    <w:rsid w:val="2903396A"/>
    <w:rsid w:val="2939792C"/>
    <w:rsid w:val="29494332"/>
    <w:rsid w:val="294E766A"/>
    <w:rsid w:val="297161D3"/>
    <w:rsid w:val="2978319A"/>
    <w:rsid w:val="29886D49"/>
    <w:rsid w:val="29897A2F"/>
    <w:rsid w:val="29956949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512449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8644B"/>
    <w:rsid w:val="2B0C0EEE"/>
    <w:rsid w:val="2B130E5F"/>
    <w:rsid w:val="2B132265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C40957"/>
    <w:rsid w:val="2BCB407B"/>
    <w:rsid w:val="2BCB5DAA"/>
    <w:rsid w:val="2BD65380"/>
    <w:rsid w:val="2BE400FF"/>
    <w:rsid w:val="2BE725D0"/>
    <w:rsid w:val="2BF369B9"/>
    <w:rsid w:val="2BFC0A4A"/>
    <w:rsid w:val="2C094904"/>
    <w:rsid w:val="2C0E55A1"/>
    <w:rsid w:val="2C1B5A5E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E53126"/>
    <w:rsid w:val="2CE755FE"/>
    <w:rsid w:val="2CE8526F"/>
    <w:rsid w:val="2D026315"/>
    <w:rsid w:val="2D033239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74898"/>
    <w:rsid w:val="2D6B40A9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F42931"/>
    <w:rsid w:val="2DFE261A"/>
    <w:rsid w:val="2E34792A"/>
    <w:rsid w:val="2E437E73"/>
    <w:rsid w:val="2E5034DC"/>
    <w:rsid w:val="2E572AB9"/>
    <w:rsid w:val="2E7258DC"/>
    <w:rsid w:val="2E79458E"/>
    <w:rsid w:val="2E797A78"/>
    <w:rsid w:val="2E7C14B2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1B2620"/>
    <w:rsid w:val="2F2D445E"/>
    <w:rsid w:val="2F4F6FBB"/>
    <w:rsid w:val="2F664E2B"/>
    <w:rsid w:val="2F6A2E08"/>
    <w:rsid w:val="2F6C7BE3"/>
    <w:rsid w:val="2F783485"/>
    <w:rsid w:val="2F7F5C0B"/>
    <w:rsid w:val="2FA0088D"/>
    <w:rsid w:val="2FA6492D"/>
    <w:rsid w:val="2FC03679"/>
    <w:rsid w:val="2FC3176C"/>
    <w:rsid w:val="2FC86676"/>
    <w:rsid w:val="2FD17A1B"/>
    <w:rsid w:val="2FD71CA4"/>
    <w:rsid w:val="2FDC4A8D"/>
    <w:rsid w:val="2FF7438A"/>
    <w:rsid w:val="2FF93066"/>
    <w:rsid w:val="301A71CE"/>
    <w:rsid w:val="301E049B"/>
    <w:rsid w:val="302A4BE6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185DE5"/>
    <w:rsid w:val="313C313D"/>
    <w:rsid w:val="313F6DC6"/>
    <w:rsid w:val="314E236F"/>
    <w:rsid w:val="315A7A1E"/>
    <w:rsid w:val="315E0B07"/>
    <w:rsid w:val="31621F46"/>
    <w:rsid w:val="316810EA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2441D2"/>
    <w:rsid w:val="3235187E"/>
    <w:rsid w:val="3237186B"/>
    <w:rsid w:val="323B6798"/>
    <w:rsid w:val="323D0AE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835F2"/>
    <w:rsid w:val="32BE0772"/>
    <w:rsid w:val="32DF351E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605D1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20A2D"/>
    <w:rsid w:val="3429226D"/>
    <w:rsid w:val="342B76C7"/>
    <w:rsid w:val="343A1527"/>
    <w:rsid w:val="34447898"/>
    <w:rsid w:val="344E62FA"/>
    <w:rsid w:val="34667CFF"/>
    <w:rsid w:val="3472234D"/>
    <w:rsid w:val="347D500F"/>
    <w:rsid w:val="34830157"/>
    <w:rsid w:val="34872D27"/>
    <w:rsid w:val="348E58C4"/>
    <w:rsid w:val="349164BD"/>
    <w:rsid w:val="3499657C"/>
    <w:rsid w:val="34B324C4"/>
    <w:rsid w:val="34B961B7"/>
    <w:rsid w:val="34BD02AE"/>
    <w:rsid w:val="34DA26A8"/>
    <w:rsid w:val="34E960F1"/>
    <w:rsid w:val="35081960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D1C5B"/>
    <w:rsid w:val="36121506"/>
    <w:rsid w:val="36182B79"/>
    <w:rsid w:val="361D7A43"/>
    <w:rsid w:val="361F3323"/>
    <w:rsid w:val="36402EFA"/>
    <w:rsid w:val="36496A51"/>
    <w:rsid w:val="365623F6"/>
    <w:rsid w:val="366739E9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6D01D2"/>
    <w:rsid w:val="37736F26"/>
    <w:rsid w:val="378229A7"/>
    <w:rsid w:val="3784394E"/>
    <w:rsid w:val="37987437"/>
    <w:rsid w:val="379F33FC"/>
    <w:rsid w:val="37A432E4"/>
    <w:rsid w:val="37A86196"/>
    <w:rsid w:val="37A86847"/>
    <w:rsid w:val="37AD1354"/>
    <w:rsid w:val="37BB3C3C"/>
    <w:rsid w:val="37C22B47"/>
    <w:rsid w:val="37C94031"/>
    <w:rsid w:val="37CA042E"/>
    <w:rsid w:val="37D44549"/>
    <w:rsid w:val="37D77B09"/>
    <w:rsid w:val="37D97EDE"/>
    <w:rsid w:val="37E76E34"/>
    <w:rsid w:val="38065D0A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E5848"/>
    <w:rsid w:val="38930FB9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4E44C5"/>
    <w:rsid w:val="3A523735"/>
    <w:rsid w:val="3A557AE4"/>
    <w:rsid w:val="3A6B0F84"/>
    <w:rsid w:val="3A727435"/>
    <w:rsid w:val="3A813EA6"/>
    <w:rsid w:val="3A8302D9"/>
    <w:rsid w:val="3A94055A"/>
    <w:rsid w:val="3AA90B75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7667E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203B2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1A5A52"/>
    <w:rsid w:val="3D316CDB"/>
    <w:rsid w:val="3D3707C6"/>
    <w:rsid w:val="3D3A23D9"/>
    <w:rsid w:val="3D3D6BBD"/>
    <w:rsid w:val="3D4465DF"/>
    <w:rsid w:val="3D450F8C"/>
    <w:rsid w:val="3D4518DD"/>
    <w:rsid w:val="3D477118"/>
    <w:rsid w:val="3D594E54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96960"/>
    <w:rsid w:val="3DB34E86"/>
    <w:rsid w:val="3DB90549"/>
    <w:rsid w:val="3DBA0A4C"/>
    <w:rsid w:val="3DC46444"/>
    <w:rsid w:val="3DE71626"/>
    <w:rsid w:val="3DED0F96"/>
    <w:rsid w:val="3DF776C4"/>
    <w:rsid w:val="3DF95812"/>
    <w:rsid w:val="3E171BFC"/>
    <w:rsid w:val="3E1D4B24"/>
    <w:rsid w:val="3E3A04FA"/>
    <w:rsid w:val="3E3D6B96"/>
    <w:rsid w:val="3E441C7D"/>
    <w:rsid w:val="3E490256"/>
    <w:rsid w:val="3E55739E"/>
    <w:rsid w:val="3E610D47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31FDB"/>
    <w:rsid w:val="3ED655CD"/>
    <w:rsid w:val="3EE931D8"/>
    <w:rsid w:val="3EED4B87"/>
    <w:rsid w:val="3EF31E7F"/>
    <w:rsid w:val="3EF36DF0"/>
    <w:rsid w:val="3EF71CB8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AB2930"/>
    <w:rsid w:val="3FB45C58"/>
    <w:rsid w:val="3FC36557"/>
    <w:rsid w:val="3FC956FF"/>
    <w:rsid w:val="3FD13F50"/>
    <w:rsid w:val="3FDC5F31"/>
    <w:rsid w:val="3FE04625"/>
    <w:rsid w:val="3FE86CE8"/>
    <w:rsid w:val="3FEB0F09"/>
    <w:rsid w:val="3FFB0F66"/>
    <w:rsid w:val="3FFC05FC"/>
    <w:rsid w:val="400B1009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904E57"/>
    <w:rsid w:val="40A25054"/>
    <w:rsid w:val="40A325E0"/>
    <w:rsid w:val="40B7228C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887DF8"/>
    <w:rsid w:val="419E60D3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E7E66"/>
    <w:rsid w:val="4332317A"/>
    <w:rsid w:val="433246A0"/>
    <w:rsid w:val="433325E5"/>
    <w:rsid w:val="433E162C"/>
    <w:rsid w:val="433F6B54"/>
    <w:rsid w:val="4346543A"/>
    <w:rsid w:val="434A3160"/>
    <w:rsid w:val="43526758"/>
    <w:rsid w:val="43533E29"/>
    <w:rsid w:val="435B1259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909C3"/>
    <w:rsid w:val="43DC07CE"/>
    <w:rsid w:val="43DF6B45"/>
    <w:rsid w:val="43EC6F1F"/>
    <w:rsid w:val="43ED6970"/>
    <w:rsid w:val="43FE44BA"/>
    <w:rsid w:val="440D5045"/>
    <w:rsid w:val="440F6C97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BE0153"/>
    <w:rsid w:val="44C27B20"/>
    <w:rsid w:val="44DC46E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514AD5"/>
    <w:rsid w:val="4552412E"/>
    <w:rsid w:val="45583A50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7F4671"/>
    <w:rsid w:val="46894B18"/>
    <w:rsid w:val="468C69CF"/>
    <w:rsid w:val="469448C6"/>
    <w:rsid w:val="46A85D08"/>
    <w:rsid w:val="46AB0067"/>
    <w:rsid w:val="46B80AF8"/>
    <w:rsid w:val="46CF2596"/>
    <w:rsid w:val="46D37F0B"/>
    <w:rsid w:val="46D71533"/>
    <w:rsid w:val="46E53335"/>
    <w:rsid w:val="47155D89"/>
    <w:rsid w:val="472163E9"/>
    <w:rsid w:val="472C77A5"/>
    <w:rsid w:val="473069AF"/>
    <w:rsid w:val="474A0EAF"/>
    <w:rsid w:val="474E50BE"/>
    <w:rsid w:val="47696F9C"/>
    <w:rsid w:val="47714F1F"/>
    <w:rsid w:val="47725A17"/>
    <w:rsid w:val="477643CD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808150F"/>
    <w:rsid w:val="480E36A7"/>
    <w:rsid w:val="480F51A8"/>
    <w:rsid w:val="48256B1B"/>
    <w:rsid w:val="48282713"/>
    <w:rsid w:val="482C2D7C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C972BE"/>
    <w:rsid w:val="48D429DD"/>
    <w:rsid w:val="48E01C77"/>
    <w:rsid w:val="48E22285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917A24"/>
    <w:rsid w:val="49934229"/>
    <w:rsid w:val="49A33C27"/>
    <w:rsid w:val="49A750B5"/>
    <w:rsid w:val="49B7144E"/>
    <w:rsid w:val="49BE07DA"/>
    <w:rsid w:val="49C84AA0"/>
    <w:rsid w:val="49D7694D"/>
    <w:rsid w:val="49E30DCE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0380A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AFF48D8"/>
    <w:rsid w:val="4B174032"/>
    <w:rsid w:val="4B250CF8"/>
    <w:rsid w:val="4B2873FD"/>
    <w:rsid w:val="4B2B56DD"/>
    <w:rsid w:val="4B2C3E03"/>
    <w:rsid w:val="4B3D4DE9"/>
    <w:rsid w:val="4B492D39"/>
    <w:rsid w:val="4B533766"/>
    <w:rsid w:val="4B740C56"/>
    <w:rsid w:val="4B7C4100"/>
    <w:rsid w:val="4B830F9B"/>
    <w:rsid w:val="4B8F2DD0"/>
    <w:rsid w:val="4B9A5EB4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3F20D2"/>
    <w:rsid w:val="4C562920"/>
    <w:rsid w:val="4C5D1F92"/>
    <w:rsid w:val="4C603F16"/>
    <w:rsid w:val="4C6262E0"/>
    <w:rsid w:val="4C644C45"/>
    <w:rsid w:val="4C6703A3"/>
    <w:rsid w:val="4C6D7518"/>
    <w:rsid w:val="4C6E4EF5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4C6935"/>
    <w:rsid w:val="4D525BE3"/>
    <w:rsid w:val="4D566017"/>
    <w:rsid w:val="4D5A10D4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425CE"/>
    <w:rsid w:val="4E0538A3"/>
    <w:rsid w:val="4E0E6818"/>
    <w:rsid w:val="4E2603A1"/>
    <w:rsid w:val="4E27683A"/>
    <w:rsid w:val="4E321D35"/>
    <w:rsid w:val="4E390D12"/>
    <w:rsid w:val="4E397241"/>
    <w:rsid w:val="4E4C50A3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50286"/>
    <w:rsid w:val="4E9C0636"/>
    <w:rsid w:val="4E9D29FB"/>
    <w:rsid w:val="4EA30DB6"/>
    <w:rsid w:val="4EA7341F"/>
    <w:rsid w:val="4EBD3E8B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46156"/>
    <w:rsid w:val="4F5D1434"/>
    <w:rsid w:val="4F6D6527"/>
    <w:rsid w:val="4F844A99"/>
    <w:rsid w:val="4F94662C"/>
    <w:rsid w:val="4FB00163"/>
    <w:rsid w:val="4FB208E7"/>
    <w:rsid w:val="4FD0475C"/>
    <w:rsid w:val="4FE30332"/>
    <w:rsid w:val="4FE70BB4"/>
    <w:rsid w:val="4FE73C01"/>
    <w:rsid w:val="4FE87C31"/>
    <w:rsid w:val="4FEE342A"/>
    <w:rsid w:val="4FF14DCF"/>
    <w:rsid w:val="500815B6"/>
    <w:rsid w:val="500B39BC"/>
    <w:rsid w:val="502173F8"/>
    <w:rsid w:val="5022123F"/>
    <w:rsid w:val="5025703C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302D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04A02"/>
    <w:rsid w:val="51D129CA"/>
    <w:rsid w:val="51D93F8A"/>
    <w:rsid w:val="51D940B1"/>
    <w:rsid w:val="51E5046A"/>
    <w:rsid w:val="522217FD"/>
    <w:rsid w:val="52272B85"/>
    <w:rsid w:val="52284E31"/>
    <w:rsid w:val="523E09B5"/>
    <w:rsid w:val="52523D78"/>
    <w:rsid w:val="52687B2A"/>
    <w:rsid w:val="526E0E82"/>
    <w:rsid w:val="527733A7"/>
    <w:rsid w:val="527901C6"/>
    <w:rsid w:val="528F4A24"/>
    <w:rsid w:val="5293393F"/>
    <w:rsid w:val="52944BB6"/>
    <w:rsid w:val="529A08FC"/>
    <w:rsid w:val="52A24532"/>
    <w:rsid w:val="52B3363A"/>
    <w:rsid w:val="52C4763C"/>
    <w:rsid w:val="52DE691D"/>
    <w:rsid w:val="52E04D27"/>
    <w:rsid w:val="52ED0C96"/>
    <w:rsid w:val="53061721"/>
    <w:rsid w:val="530C0E6B"/>
    <w:rsid w:val="530F24C0"/>
    <w:rsid w:val="531A1CF5"/>
    <w:rsid w:val="532F77EA"/>
    <w:rsid w:val="53367575"/>
    <w:rsid w:val="533933AA"/>
    <w:rsid w:val="533B7F54"/>
    <w:rsid w:val="533D4B47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BB77B9"/>
    <w:rsid w:val="53D6247A"/>
    <w:rsid w:val="53DB3477"/>
    <w:rsid w:val="53DE00FF"/>
    <w:rsid w:val="53E77CBF"/>
    <w:rsid w:val="53FE7128"/>
    <w:rsid w:val="540F3D40"/>
    <w:rsid w:val="54201800"/>
    <w:rsid w:val="54247F22"/>
    <w:rsid w:val="542A1F8A"/>
    <w:rsid w:val="542B4430"/>
    <w:rsid w:val="542C29CD"/>
    <w:rsid w:val="542F1551"/>
    <w:rsid w:val="5430412F"/>
    <w:rsid w:val="54381756"/>
    <w:rsid w:val="545750B7"/>
    <w:rsid w:val="545A1EBF"/>
    <w:rsid w:val="54641B36"/>
    <w:rsid w:val="54727478"/>
    <w:rsid w:val="54755F9C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C18EF"/>
    <w:rsid w:val="54ED3D78"/>
    <w:rsid w:val="54F52BA3"/>
    <w:rsid w:val="54F54E04"/>
    <w:rsid w:val="54FC55EC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C592A"/>
    <w:rsid w:val="55D40743"/>
    <w:rsid w:val="55DD3DD0"/>
    <w:rsid w:val="55DD6F2A"/>
    <w:rsid w:val="55E73480"/>
    <w:rsid w:val="55E8339E"/>
    <w:rsid w:val="55F06771"/>
    <w:rsid w:val="560C3F72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BC24D0"/>
    <w:rsid w:val="56C1700B"/>
    <w:rsid w:val="56D25618"/>
    <w:rsid w:val="56D65DA0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75082"/>
    <w:rsid w:val="57482CC2"/>
    <w:rsid w:val="5752012F"/>
    <w:rsid w:val="576476C1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416EE"/>
    <w:rsid w:val="580F1B21"/>
    <w:rsid w:val="581B7E79"/>
    <w:rsid w:val="58500F22"/>
    <w:rsid w:val="58587379"/>
    <w:rsid w:val="586D57A3"/>
    <w:rsid w:val="58723A84"/>
    <w:rsid w:val="587917A0"/>
    <w:rsid w:val="587A4288"/>
    <w:rsid w:val="5880052B"/>
    <w:rsid w:val="58AD27D9"/>
    <w:rsid w:val="58B169A2"/>
    <w:rsid w:val="58B71FD8"/>
    <w:rsid w:val="58B9636C"/>
    <w:rsid w:val="58C37133"/>
    <w:rsid w:val="58C93046"/>
    <w:rsid w:val="58D36BCB"/>
    <w:rsid w:val="58E00BA4"/>
    <w:rsid w:val="58E6349C"/>
    <w:rsid w:val="58EF63EE"/>
    <w:rsid w:val="58FD0AB7"/>
    <w:rsid w:val="590317F0"/>
    <w:rsid w:val="59075000"/>
    <w:rsid w:val="593559FD"/>
    <w:rsid w:val="59355F98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70BAF"/>
    <w:rsid w:val="5A0D5C90"/>
    <w:rsid w:val="5A0F4AFB"/>
    <w:rsid w:val="5A297D0D"/>
    <w:rsid w:val="5A320F71"/>
    <w:rsid w:val="5A3B166C"/>
    <w:rsid w:val="5A3C0F08"/>
    <w:rsid w:val="5A3E5B83"/>
    <w:rsid w:val="5A54407C"/>
    <w:rsid w:val="5A557ED0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A413C3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1F7425"/>
    <w:rsid w:val="5B28192B"/>
    <w:rsid w:val="5B342BAD"/>
    <w:rsid w:val="5B394C7D"/>
    <w:rsid w:val="5B4007EF"/>
    <w:rsid w:val="5B4D1F7C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3B6CFC"/>
    <w:rsid w:val="5C4C2CF4"/>
    <w:rsid w:val="5C615117"/>
    <w:rsid w:val="5C6B1600"/>
    <w:rsid w:val="5C7B6027"/>
    <w:rsid w:val="5C7D70D1"/>
    <w:rsid w:val="5C824577"/>
    <w:rsid w:val="5C8542A8"/>
    <w:rsid w:val="5CA6294E"/>
    <w:rsid w:val="5CDB3358"/>
    <w:rsid w:val="5CE033FF"/>
    <w:rsid w:val="5CE42EE9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806B6"/>
    <w:rsid w:val="5D5B7098"/>
    <w:rsid w:val="5D623941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03395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8A195D"/>
    <w:rsid w:val="5E921A45"/>
    <w:rsid w:val="5E975993"/>
    <w:rsid w:val="5EB51FDE"/>
    <w:rsid w:val="5EBA4472"/>
    <w:rsid w:val="5EC2410B"/>
    <w:rsid w:val="5EC3227D"/>
    <w:rsid w:val="5ECA3D37"/>
    <w:rsid w:val="5ED74802"/>
    <w:rsid w:val="5EE153F8"/>
    <w:rsid w:val="5EED7893"/>
    <w:rsid w:val="5EFB2125"/>
    <w:rsid w:val="5EFB6F0A"/>
    <w:rsid w:val="5F0A3A61"/>
    <w:rsid w:val="5F0B7D44"/>
    <w:rsid w:val="5F3370DF"/>
    <w:rsid w:val="5F491124"/>
    <w:rsid w:val="5F683B6E"/>
    <w:rsid w:val="5F7D5B44"/>
    <w:rsid w:val="5F825131"/>
    <w:rsid w:val="5F875C0C"/>
    <w:rsid w:val="5F8F0B9E"/>
    <w:rsid w:val="5F8F267A"/>
    <w:rsid w:val="5F941AB6"/>
    <w:rsid w:val="5F9F7420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9335C"/>
    <w:rsid w:val="608C09C9"/>
    <w:rsid w:val="608D1D4E"/>
    <w:rsid w:val="6092569C"/>
    <w:rsid w:val="60964430"/>
    <w:rsid w:val="609A6239"/>
    <w:rsid w:val="60A42FF1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B173D2"/>
    <w:rsid w:val="61D43A2B"/>
    <w:rsid w:val="61E34474"/>
    <w:rsid w:val="61EB5611"/>
    <w:rsid w:val="61FC62B1"/>
    <w:rsid w:val="61FF316E"/>
    <w:rsid w:val="621542CB"/>
    <w:rsid w:val="621F78DD"/>
    <w:rsid w:val="622A0761"/>
    <w:rsid w:val="624263A2"/>
    <w:rsid w:val="625272C3"/>
    <w:rsid w:val="626B336E"/>
    <w:rsid w:val="626C14D5"/>
    <w:rsid w:val="626E0821"/>
    <w:rsid w:val="62715337"/>
    <w:rsid w:val="6280204D"/>
    <w:rsid w:val="62866909"/>
    <w:rsid w:val="6290769B"/>
    <w:rsid w:val="62943D08"/>
    <w:rsid w:val="62A05735"/>
    <w:rsid w:val="62A411F8"/>
    <w:rsid w:val="62A609E3"/>
    <w:rsid w:val="62A81A26"/>
    <w:rsid w:val="62B06F4A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4A4584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2A81"/>
    <w:rsid w:val="64F1762E"/>
    <w:rsid w:val="64FE700F"/>
    <w:rsid w:val="6500327F"/>
    <w:rsid w:val="6506609B"/>
    <w:rsid w:val="65083216"/>
    <w:rsid w:val="65101A99"/>
    <w:rsid w:val="65460728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004B9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DF4B10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97DB3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34597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9D1346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357E"/>
    <w:rsid w:val="6A711183"/>
    <w:rsid w:val="6A7B4B9C"/>
    <w:rsid w:val="6A7F585E"/>
    <w:rsid w:val="6A903F0D"/>
    <w:rsid w:val="6AAF014C"/>
    <w:rsid w:val="6AC07690"/>
    <w:rsid w:val="6ACB082B"/>
    <w:rsid w:val="6AD3247E"/>
    <w:rsid w:val="6ADD7B15"/>
    <w:rsid w:val="6AE37ECF"/>
    <w:rsid w:val="6AE4699C"/>
    <w:rsid w:val="6AF317C6"/>
    <w:rsid w:val="6B0639BA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C56C9A"/>
    <w:rsid w:val="6BE727F5"/>
    <w:rsid w:val="6BEC7AFC"/>
    <w:rsid w:val="6BED7002"/>
    <w:rsid w:val="6C0858B3"/>
    <w:rsid w:val="6C240DF3"/>
    <w:rsid w:val="6C267BF0"/>
    <w:rsid w:val="6C3E2FAF"/>
    <w:rsid w:val="6C3F5142"/>
    <w:rsid w:val="6C45610F"/>
    <w:rsid w:val="6C59472D"/>
    <w:rsid w:val="6C595220"/>
    <w:rsid w:val="6C5A4564"/>
    <w:rsid w:val="6C603744"/>
    <w:rsid w:val="6C637CCF"/>
    <w:rsid w:val="6C683A0E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1A5C65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DB0736"/>
    <w:rsid w:val="6DF43BD4"/>
    <w:rsid w:val="6DF52A94"/>
    <w:rsid w:val="6E0E1FAB"/>
    <w:rsid w:val="6E2143FB"/>
    <w:rsid w:val="6E317378"/>
    <w:rsid w:val="6E3C2F4C"/>
    <w:rsid w:val="6E3E5591"/>
    <w:rsid w:val="6E4215C6"/>
    <w:rsid w:val="6E451C93"/>
    <w:rsid w:val="6E4B0158"/>
    <w:rsid w:val="6E4D611F"/>
    <w:rsid w:val="6E567C9E"/>
    <w:rsid w:val="6E635028"/>
    <w:rsid w:val="6E636A71"/>
    <w:rsid w:val="6E685B0A"/>
    <w:rsid w:val="6E6C6CB8"/>
    <w:rsid w:val="6E73404A"/>
    <w:rsid w:val="6E7355AA"/>
    <w:rsid w:val="6E7D300B"/>
    <w:rsid w:val="6E823708"/>
    <w:rsid w:val="6E8B3F00"/>
    <w:rsid w:val="6E920B5B"/>
    <w:rsid w:val="6E990B16"/>
    <w:rsid w:val="6EA1723B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CD31FC"/>
    <w:rsid w:val="6FDB518F"/>
    <w:rsid w:val="6FE529ED"/>
    <w:rsid w:val="6FEB0094"/>
    <w:rsid w:val="6FF733A7"/>
    <w:rsid w:val="70003DD9"/>
    <w:rsid w:val="70072915"/>
    <w:rsid w:val="70172090"/>
    <w:rsid w:val="70195E88"/>
    <w:rsid w:val="701D43BA"/>
    <w:rsid w:val="702B6F43"/>
    <w:rsid w:val="7032079E"/>
    <w:rsid w:val="703340B0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61FAC"/>
    <w:rsid w:val="70BB2EF0"/>
    <w:rsid w:val="70BC2801"/>
    <w:rsid w:val="70C145EC"/>
    <w:rsid w:val="70C42EF7"/>
    <w:rsid w:val="70C6646C"/>
    <w:rsid w:val="70C72A96"/>
    <w:rsid w:val="70FC2D1E"/>
    <w:rsid w:val="71015D6B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7540C"/>
    <w:rsid w:val="71D438FF"/>
    <w:rsid w:val="71DA4A07"/>
    <w:rsid w:val="71F64A63"/>
    <w:rsid w:val="71F870B8"/>
    <w:rsid w:val="72021233"/>
    <w:rsid w:val="720B2A1D"/>
    <w:rsid w:val="72380401"/>
    <w:rsid w:val="72417F90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F1AC7"/>
    <w:rsid w:val="72E42AFA"/>
    <w:rsid w:val="72E85578"/>
    <w:rsid w:val="72EB4466"/>
    <w:rsid w:val="72F5235D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03142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052E"/>
    <w:rsid w:val="746B732F"/>
    <w:rsid w:val="746E18CB"/>
    <w:rsid w:val="746F3904"/>
    <w:rsid w:val="748D52FA"/>
    <w:rsid w:val="74986414"/>
    <w:rsid w:val="74993216"/>
    <w:rsid w:val="74B05FA4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6625FA"/>
    <w:rsid w:val="75752B04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614B6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97D5B"/>
    <w:rsid w:val="76EC51FD"/>
    <w:rsid w:val="76F410B8"/>
    <w:rsid w:val="76F60029"/>
    <w:rsid w:val="76F70779"/>
    <w:rsid w:val="771B67DF"/>
    <w:rsid w:val="77272CAB"/>
    <w:rsid w:val="77451578"/>
    <w:rsid w:val="77576666"/>
    <w:rsid w:val="775E40FB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AC41C8"/>
    <w:rsid w:val="77B841F3"/>
    <w:rsid w:val="77C078B1"/>
    <w:rsid w:val="77C5294F"/>
    <w:rsid w:val="77E66E3C"/>
    <w:rsid w:val="77F3789A"/>
    <w:rsid w:val="780326B9"/>
    <w:rsid w:val="780332E5"/>
    <w:rsid w:val="7833711D"/>
    <w:rsid w:val="7843338D"/>
    <w:rsid w:val="78460D63"/>
    <w:rsid w:val="78497C2E"/>
    <w:rsid w:val="78502D35"/>
    <w:rsid w:val="7854087B"/>
    <w:rsid w:val="786A4053"/>
    <w:rsid w:val="786B4FF2"/>
    <w:rsid w:val="78782A0D"/>
    <w:rsid w:val="78785A2F"/>
    <w:rsid w:val="787B5060"/>
    <w:rsid w:val="78866CC9"/>
    <w:rsid w:val="788720E7"/>
    <w:rsid w:val="78A90B04"/>
    <w:rsid w:val="78C53485"/>
    <w:rsid w:val="78C6693F"/>
    <w:rsid w:val="78C76A01"/>
    <w:rsid w:val="78E1569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5F35F7"/>
    <w:rsid w:val="7964574A"/>
    <w:rsid w:val="79804706"/>
    <w:rsid w:val="79941CF2"/>
    <w:rsid w:val="79973382"/>
    <w:rsid w:val="79B4353E"/>
    <w:rsid w:val="79D31656"/>
    <w:rsid w:val="79D33056"/>
    <w:rsid w:val="79D715DF"/>
    <w:rsid w:val="79DC713A"/>
    <w:rsid w:val="79EC0256"/>
    <w:rsid w:val="79F60153"/>
    <w:rsid w:val="79FB6E2C"/>
    <w:rsid w:val="7A1527A1"/>
    <w:rsid w:val="7A36322F"/>
    <w:rsid w:val="7A3C2BAA"/>
    <w:rsid w:val="7A3D2527"/>
    <w:rsid w:val="7A4522E3"/>
    <w:rsid w:val="7A4C2D60"/>
    <w:rsid w:val="7A5C4815"/>
    <w:rsid w:val="7A5E0869"/>
    <w:rsid w:val="7A6E4BF5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B274176"/>
    <w:rsid w:val="7B306163"/>
    <w:rsid w:val="7B3E17AA"/>
    <w:rsid w:val="7B401C79"/>
    <w:rsid w:val="7B440ED6"/>
    <w:rsid w:val="7B4678D7"/>
    <w:rsid w:val="7B4B2A93"/>
    <w:rsid w:val="7B527515"/>
    <w:rsid w:val="7B6022ED"/>
    <w:rsid w:val="7B7E38A0"/>
    <w:rsid w:val="7B890A24"/>
    <w:rsid w:val="7B8A4A8A"/>
    <w:rsid w:val="7BA936A0"/>
    <w:rsid w:val="7BAA485C"/>
    <w:rsid w:val="7BAD1591"/>
    <w:rsid w:val="7BC732A9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11E7"/>
    <w:rsid w:val="7C34521A"/>
    <w:rsid w:val="7C4A2BD1"/>
    <w:rsid w:val="7C576C70"/>
    <w:rsid w:val="7C607511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537648"/>
    <w:rsid w:val="7D5B27C9"/>
    <w:rsid w:val="7D62117D"/>
    <w:rsid w:val="7D6B7F02"/>
    <w:rsid w:val="7D6D1048"/>
    <w:rsid w:val="7D834A16"/>
    <w:rsid w:val="7D9D0A97"/>
    <w:rsid w:val="7D9D438F"/>
    <w:rsid w:val="7DA514D2"/>
    <w:rsid w:val="7DBB5D06"/>
    <w:rsid w:val="7DCD1A27"/>
    <w:rsid w:val="7DCD4EB5"/>
    <w:rsid w:val="7E090313"/>
    <w:rsid w:val="7E3E0FEC"/>
    <w:rsid w:val="7E3E1EF2"/>
    <w:rsid w:val="7E4247D7"/>
    <w:rsid w:val="7E517B0C"/>
    <w:rsid w:val="7E566EA2"/>
    <w:rsid w:val="7E572EA7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C52B9"/>
    <w:rsid w:val="7FE653BC"/>
    <w:rsid w:val="7FE713C6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15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ZTE_Wenhao</cp:lastModifiedBy>
  <dcterms:modified xsi:type="dcterms:W3CDTF">2024-02-19T07:34:53Z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98FDDB9E0DCC4848AB463A1A3C5D64F9</vt:lpwstr>
  </property>
</Properties>
</file>